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F-I21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Life &amp; ULIP Claim / Servicing Dispute Schedule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surrender, discontinuance, fund value, annuity, bonus and nomination disputes on life and unit-linked policies.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Insurer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Plan &amp; type (endowment / ULIP / annuity)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commencement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Premium &amp; mode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Policy status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Sum assured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NATURE OF THE DISPUTE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This concerns: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Surrender value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Paid-up value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Bonus / loyalty addition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ULIP fund value on surrender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Discontinuance fund &amp; charges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NAV date applied on switch / redemption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Premium-allocation / policy-admin charges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Annuity rate / commutation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Return of purchase price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Delayed / missed annuity instalment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Maturity computation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Lapse &amp; revival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Nomination / assignment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ULIP-SPECIFIC (complete for unit-linked policies)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Fund(s) invested in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Units held at the relevant 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NAV claimed / applied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switch / surrender / redemption request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NAV date the insurer applied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Discontinuance date (if lapsed)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Discontinuance charges levied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Was the discontinued-policy fund credited with the prescribed interest?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93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Head</w:t>
            </w:r>
          </w:p>
        </w:tc>
        <w:tc>
          <w:tcPr>
            <w:tcW w:type="dxa" w:w="21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as per insured (₹)</w:t>
            </w:r>
          </w:p>
        </w:tc>
        <w:tc>
          <w:tcPr>
            <w:tcW w:type="dxa" w:w="21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as per insurer (₹)</w:t>
            </w:r>
          </w:p>
        </w:tc>
        <w:tc>
          <w:tcPr>
            <w:tcW w:type="dxa" w:w="2546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Difference &amp; reason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546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ANNUITY / PENSION (complete where relevant)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Annuity option chosen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Annuity rate applied vs illustrated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Commutation permitted / disputed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Survivor / joint-life terms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NOMINATION / ASSIGNMENT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Nominee(s) on record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last nomination change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Assignment in favour of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Competing claimants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Succession / heirship document available? (Y/N)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For a ULIP, the benefit illustration signed at the point of sale, the unit statement and the discontinuance terms are the deciding documents. Discontinuance charges are capped by regulation and the discontinued-policy fund must earn the prescribed minimum interest — check both. [verify — current ULIP discontinuance caps and minimum interest.]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Prepared by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F-I21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7C8A4F-B1F7-42FC-9FC3-23BE23030B95}"/>
</file>

<file path=customXml/itemProps3.xml><?xml version="1.0" encoding="utf-8"?>
<ds:datastoreItem xmlns:ds="http://schemas.openxmlformats.org/officeDocument/2006/customXml" ds:itemID="{C63340FF-7BA1-4411-967D-3B8E7700E952}"/>
</file>

<file path=customXml/itemProps4.xml><?xml version="1.0" encoding="utf-8"?>
<ds:datastoreItem xmlns:ds="http://schemas.openxmlformats.org/officeDocument/2006/customXml" ds:itemID="{86625049-DE04-4A4A-A0B9-D859A231A9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