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F-I22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Marine &amp; Transit Claim Schedule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For marine cargo, inland transit and hull &amp; machinery claims.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Insurer &amp; co-insurers (share %)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/ certificate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Cover basis (ICC A / B / C / inland / hull)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Sum insured / agreed value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Voyage / transit (from – to)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Conveyance &amp; carrier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THE LOSS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Nature: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Total loss (actual)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Constructive total loss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Particular average (partial)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General average contribution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Theft / pilferage / non-delivery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Water / wet damage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Breakage / denting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Contamination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Fire / explosion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Collision (hull)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Machinery / engine damage (hull)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&amp; place of loss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discovery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intimated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Survey held on / surveyor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Bill of lading / LR / AWB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Nature &amp; sufficiency of packing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DISPUTED GROUNDS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The dispute concerns: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Which insured peril applied (ICC clause)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Insufficient packing exclusion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Delay exclusion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Inherent vice / ordinary leakage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Unseaworthiness (hull)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Wear &amp; tear vs fortuity (hull)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Transit not commenced / ended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Accumulation / limit per conveyance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Under-declaration of value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Duty &amp; increased-value components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General-average adjustment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QUANTUM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90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64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Head</w:t>
            </w:r>
          </w:p>
        </w:tc>
        <w:tc>
          <w:tcPr>
            <w:tcW w:type="dxa" w:w="1665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Claimed (₹)</w:t>
            </w:r>
          </w:p>
        </w:tc>
        <w:tc>
          <w:tcPr>
            <w:tcW w:type="dxa" w:w="1665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Surveyor (₹)</w:t>
            </w:r>
          </w:p>
        </w:tc>
        <w:tc>
          <w:tcPr>
            <w:tcW w:type="dxa" w:w="3329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Difference &amp; reason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64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66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66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64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66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66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64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66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66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64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66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66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64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66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66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64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66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66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Marine claims are decided by proximate cause under the Marine Insurance Act, 1963. Establish the dominant cause and the exact Institute Cargo Clause incorporated before arguing quantum. General average requires a York-Antwerp adjustment.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For the insured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For the insurer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Verified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F-I22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8ECEE8-1A65-4F39-92A8-AF3AD0FEC499}"/>
</file>

<file path=customXml/itemProps3.xml><?xml version="1.0" encoding="utf-8"?>
<ds:datastoreItem xmlns:ds="http://schemas.openxmlformats.org/officeDocument/2006/customXml" ds:itemID="{D7463503-706F-4EA5-B863-4A46D96C5F3C}"/>
</file>

<file path=customXml/itemProps4.xml><?xml version="1.0" encoding="utf-8"?>
<ds:datastoreItem xmlns:ds="http://schemas.openxmlformats.org/officeDocument/2006/customXml" ds:itemID="{DD70EB11-4C96-4964-AD0E-F3B8EF4ECE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