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Liability Claim Notification &amp; Analysis (CGL / PI / D&amp;O)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public/general liability, professional indemnity and directors' &amp; officers' cover. Trigger and notification decide these.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Insured entity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Cover type (CGL / product / PI / D&amp;O / EL)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Limit of indemnity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Deductible / self-insured retention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period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Retroactive date (PI/D&amp;O)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TRIGGER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Basis of cover: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Occurrence-based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Claims-made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Claims-made &amp; notified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the occurrence / alleged wrongful act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the claim was first made against the insured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notified to the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Any prior notification of circumstances?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THE CLAIM AGAINST THE INSURED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Claimant &amp; nature of claim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claimed (₹)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Alleged act / omission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Policy year(s) implicated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DISPUTED GROUNDS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insurer's position: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Late notification / prejudice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Outside the retroactive date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Dishonesty / fraud exclusion (pending adjudication)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Contractual-liability exclusion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Insured-vs-insured (D&amp;O)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Prior-known-circumstance exclusion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'professional services'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Aggregate limit eroded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Defence costs within / outside the limit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Conduct exclusion (personal profit)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DEFENCE COSTS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Are defence costs being advanced?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Do defence costs erode the limit?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/ insured's choice of counsel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Liability disputes usually turn on when the claim was 'first made', whether late notice actually prejudiced the insurer, and — for D&amp;O — whether defence costs must be advanced before any final adjudication of a conduct exclusion. Those are the pressure points a mediation works on.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F-I23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3B66FD-B46B-4FEE-9021-9E93BB4139C2}"/>
</file>

<file path=customXml/itemProps3.xml><?xml version="1.0" encoding="utf-8"?>
<ds:datastoreItem xmlns:ds="http://schemas.openxmlformats.org/officeDocument/2006/customXml" ds:itemID="{168EA75E-128A-4BB1-8ADF-F0D668B9ECF8}"/>
</file>

<file path=customXml/itemProps4.xml><?xml version="1.0" encoding="utf-8"?>
<ds:datastoreItem xmlns:ds="http://schemas.openxmlformats.org/officeDocument/2006/customXml" ds:itemID="{A9988F4F-DE9B-4C0D-9E9C-FF6BF50A32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