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Crop &amp; Rural Claim Schedule (PMFBY / Weather / Cattle)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agricultural and rural insurance. Note: PMFBY grievances run through the DGRC/SGRC ladder, not the Insurance Ombudsman.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Insured / farmer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Scheme (PMFBY / RWBCIS / cattle / other)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Application / 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Bank / CSC / intermediary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Season &amp; crop / animal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 insured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Area / units insured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NATURE OF THE CLAIM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Prevented / failed sowing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Localised calamity (hail / landslide / inundation)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Mid-season adversity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Yield-based claim (CCE data)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Post-harvest loss (cyclone / unseasonal rain)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Weather-index trigger not met (basis risk)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Cattle / animal death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Tag-loss / identification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claim payment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Premium-subsidy / enrolment dispute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loss / event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intimated (72-hour rule where applicable)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CCE / assessed yield vs threshold yield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Reference weather station (RWBCIS)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Post-mortem / valuation (cattle)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THE GRIEVANCE LADDER (PMFBY / RWBCIS)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Steps taken: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Complaint to the bank / CSC / insurer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Krishi Rakshak Portal / Helpline (14447)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District Level Grievance Redressal Committee (DGRC)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State Level Grievance Redressal Committee (SGRC)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DGRC decision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Referred to SGRC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Reason for delay, if stated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PMFBY and RWBCIS are not Insurance Ombudsman matters. The recurring causes of dispute are delayed yield data, late premium-subsidy release by States, insurer–State yield disputes and NEFT/account failures. Cattle and farm-package policies, by contrast, do reach the Ombudsman. [verify — current PMFBY operational guidelines and intimation timelines.]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F-I24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F08566-4188-48FF-97D4-442408682A84}"/>
</file>

<file path=customXml/itemProps3.xml><?xml version="1.0" encoding="utf-8"?>
<ds:datastoreItem xmlns:ds="http://schemas.openxmlformats.org/officeDocument/2006/customXml" ds:itemID="{358D1CDD-5370-4D84-8F2B-EDF679821D14}"/>
</file>

<file path=customXml/itemProps4.xml><?xml version="1.0" encoding="utf-8"?>
<ds:datastoreItem xmlns:ds="http://schemas.openxmlformats.org/officeDocument/2006/customXml" ds:itemID="{B5ECD8DC-5294-4B5E-99DB-3BFAE456C1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