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F-I25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Government Health Scheme Grievance (PM-JAY / State)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For beneficiaries denied a benefit, and for empanelled hospitals in dispute. NOT an Insurance Ombudsman matter.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Scheme (AB PM-JAY / State scheme)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Beneficiary / hospital 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Card / ID / empanelment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Hospital &amp; city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admission / claim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WHO IS COMPLAINING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This grievance is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 beneficiary denied treatment or cashless benefit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 beneficiary charged despite eligibility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An empanelled hospital whose claim was rejected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 hospital whose dues are held after de-empanelment / suspected fraud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 hospital disputing a package rate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THE GRIEVANCE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Set out the facts and dates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Package / procedure &amp; code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claimed / denied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Reason given for denial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THE GRIEVANCE LADDER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Steps taken / to take: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Hospital / District grievance nodal officer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Centralised Grievance Redressal Management System (CGRMS)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Call centre 14555 / email to the State Health Agency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District Grievance Redressal Committee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State Grievance Redressal Committee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National Grievance Redressal Committee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A beneficiary's entitlement under the scheme cannot be mediated away and must be signposted to the CGRMS ladder (target: resolution within 30 days; escalation if unresolved in 15). Equator may mediate a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hospital-side commercial dispute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— dues, package-rate interpretation, conditional re-empanelment — where the State Health Agency is willing. Do not present Equator as the scheme's grievance forum.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Complainant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Case Manager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F-I25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1D5C26-063B-4BC3-BC95-96491194B4D7}"/>
</file>

<file path=customXml/itemProps3.xml><?xml version="1.0" encoding="utf-8"?>
<ds:datastoreItem xmlns:ds="http://schemas.openxmlformats.org/officeDocument/2006/customXml" ds:itemID="{E6EC417D-8E07-4BD1-9443-74A0B3C002E4}"/>
</file>

<file path=customXml/itemProps4.xml><?xml version="1.0" encoding="utf-8"?>
<ds:datastoreItem xmlns:ds="http://schemas.openxmlformats.org/officeDocument/2006/customXml" ds:itemID="{48B27598-A53B-4B35-980F-3A386EC664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