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F-I26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Cyber Incident &amp; Business-Interruption Claim Schedule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For first- and third-party cyber claims and cyber business interruption.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Insured entity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Aggregate limit / sub-limits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Waiting period (BI)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period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THE INCIDENT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Nature: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Ransomware / extortion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Business email compromise (BEC)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Social-engineering fraud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Data breach / privacy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Network / systems failure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Denial of service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Insider act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Third-party / privacy claim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first detected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contained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notified to the 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Incident-response vendor used (panel?)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Regulator / DPDP notification made? (date)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HEADS OF LOSS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90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329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Head (IR costs / ransom / BI / restoration / liability)</w:t>
            </w:r>
          </w:p>
        </w:tc>
        <w:tc>
          <w:tcPr>
            <w:tcW w:type="dxa" w:w="156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Claimed (₹)</w:t>
            </w:r>
          </w:p>
        </w:tc>
        <w:tc>
          <w:tcPr>
            <w:tcW w:type="dxa" w:w="195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Position of insurer</w:t>
            </w:r>
          </w:p>
        </w:tc>
        <w:tc>
          <w:tcPr>
            <w:tcW w:type="dxa" w:w="244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DISPUTED GROUNDS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The insurer relies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Cyber-hygiene / MFA warranty breach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Unpatched-systems exclusion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Social engineering outside 'computer fraud'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War / state-sponsored exclusion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Prior-known-breach exclusion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Illegal / unsanctioned ransom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Insider-act exclusion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Waiting period not met (BI)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Betterment on restoration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BUSINESS INTERRUPTION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Systems down from – to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Waiting period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Income lost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Extra expense / increased cost of working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Dependency (outsourced provider) claim?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Cyber wordings in India are often re-badged foreign templates, so definitions ('computer fraud', 'security failure', 'war') are frequently ambiguous and read contra proferentem. Attribution to a state actor is genuinely hard — the burden and standard of proof are the negotiable ground on a war exclusion.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For the insured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For the insurer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Verified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F-I26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3273D6-6DB7-40CA-958B-0A66CC541941}"/>
</file>

<file path=customXml/itemProps3.xml><?xml version="1.0" encoding="utf-8"?>
<ds:datastoreItem xmlns:ds="http://schemas.openxmlformats.org/officeDocument/2006/customXml" ds:itemID="{527858FA-333B-4EB5-B559-81DF4CD71B3B}"/>
</file>

<file path=customXml/itemProps4.xml><?xml version="1.0" encoding="utf-8"?>
<ds:datastoreItem xmlns:ds="http://schemas.openxmlformats.org/officeDocument/2006/customXml" ds:itemID="{3A497A0F-047D-4CFC-945A-316FD0E978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