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i w:val="0"/>
          <w:color w:val="123B4F"/>
          <w:sz w:val="34"/>
        </w:rPr>
        <w:t>EQUATOR RESOLUTION</w:t>
      </w:r>
    </w:p>
    <w:p>
      <w:pPr>
        <w:spacing w:after="60"/>
        <w:jc w:val="center"/>
      </w:pPr>
      <w:r>
        <w:rPr>
          <w:rFonts w:ascii="Calibri" w:hAnsi="Calibri"/>
          <w:b w:val="0"/>
          <w:i/>
          <w:color w:val="1E7A8C"/>
          <w:sz w:val="21"/>
        </w:rPr>
        <w:t>Institutional Mediation, Conciliation &amp; Settlement</w:t>
      </w:r>
    </w:p>
    <w:p>
      <w:pPr>
        <w:pBdr>
          <w:top w:val="single" w:sz="14" w:space="6" w:color="C6A15B"/>
          <w:bottom w:val="single" w:sz="14" w:space="6" w:color="C6A15B"/>
        </w:pBdr>
      </w:pPr>
    </w:p>
    <w:p>
      <w:pPr>
        <w:spacing w:before="600"/>
        <w:jc w:val="center"/>
      </w:pPr>
      <w:r>
        <w:rPr>
          <w:rFonts w:ascii="Calibri" w:hAnsi="Calibri"/>
          <w:b/>
          <w:i w:val="0"/>
          <w:color w:val="123B4F"/>
          <w:sz w:val="48"/>
        </w:rPr>
        <w:t>Insurance Neutral Toolkit &amp; SOP Runbooks</w:t>
      </w:r>
    </w:p>
    <w:p>
      <w:pPr>
        <w:jc w:val="center"/>
      </w:pPr>
      <w:r>
        <w:rPr>
          <w:rFonts w:ascii="Calibri" w:hAnsi="Calibri"/>
          <w:b w:val="0"/>
          <w:i/>
          <w:color w:val="556168"/>
          <w:sz w:val="25"/>
        </w:rPr>
        <w:t>For case managers, mediators and conciliators</w:t>
      </w:r>
    </w:p>
    <w:p/>
    <w:p/>
    <w:p/>
    <w:p/>
    <w:p/>
    <w:p/>
    <w:p/>
    <w:p/>
    <w:p>
      <w:pPr>
        <w:jc w:val="center"/>
      </w:pPr>
      <w:r>
        <w:rPr>
          <w:rFonts w:ascii="Calibri" w:hAnsi="Calibri"/>
          <w:b/>
          <w:i w:val="0"/>
          <w:color w:val="1E7A8C"/>
          <w:sz w:val="22"/>
        </w:rPr>
        <w:t>Insurance Dispute Resolution vertical</w:t>
      </w:r>
    </w:p>
    <w:p>
      <w:pPr>
        <w:jc w:val="center"/>
      </w:pPr>
      <w:r>
        <w:rPr>
          <w:rFonts w:ascii="Calibri" w:hAnsi="Calibri"/>
          <w:b w:val="0"/>
          <w:i w:val="0"/>
          <w:color w:val="556168"/>
          <w:sz w:val="19"/>
        </w:rPr>
        <w:t>July 2026  ·  Draft for legal sign-off  ·  www.equatorresolution.com</w:t>
      </w:r>
    </w:p>
    <w:p>
      <w:r>
        <w:br w:type="page"/>
      </w:r>
    </w:p>
    <w:p>
      <w:pPr>
        <w:keepNext/>
        <w:spacing w:before="280" w:after="120"/>
        <w:pBdr>
          <w:bottom w:val="single" w:sz="12" w:space="3" w:color="C6A15B"/>
        </w:pBdr>
      </w:pPr>
      <w:r>
        <w:rPr>
          <w:rFonts w:ascii="Calibri" w:hAnsi="Calibri"/>
          <w:b/>
          <w:i w:val="0"/>
          <w:color w:val="123B4F"/>
          <w:sz w:val="32"/>
        </w:rPr>
        <w:t>How to use this toolkit</w:t>
      </w:r>
    </w:p>
    <w:p>
      <w:pPr>
        <w:spacing w:after="120"/>
        <w:jc w:val="both"/>
      </w:pPr>
      <w:r>
        <w:rPr>
          <w:rFonts w:ascii="Calibri" w:hAnsi="Calibri"/>
          <w:b w:val="0"/>
          <w:i w:val="0"/>
          <w:color w:val="1B2A32"/>
          <w:sz w:val="21"/>
        </w:rPr>
        <w:t xml:space="preserve">This is the working manual for anyone handling an insurance matter at Equator. It has three parts: </w:t>
      </w:r>
      <w:r>
        <w:rPr>
          <w:rFonts w:ascii="Calibri" w:hAnsi="Calibri"/>
          <w:b/>
          <w:i w:val="0"/>
          <w:color w:val="1B2A32"/>
          <w:sz w:val="21"/>
        </w:rPr>
        <w:t>the runbooks</w:t>
      </w:r>
      <w:r>
        <w:rPr>
          <w:rFonts w:ascii="Calibri" w:hAnsi="Calibri"/>
          <w:b w:val="0"/>
          <w:i w:val="0"/>
          <w:color w:val="1B2A32"/>
          <w:sz w:val="21"/>
        </w:rPr>
        <w:t xml:space="preserve"> (what to do, in order, at each stage), </w:t>
      </w:r>
      <w:r>
        <w:rPr>
          <w:rFonts w:ascii="Calibri" w:hAnsi="Calibri"/>
          <w:b/>
          <w:i w:val="0"/>
          <w:color w:val="1B2A32"/>
          <w:sz w:val="21"/>
        </w:rPr>
        <w:t>the scripts</w:t>
      </w:r>
      <w:r>
        <w:rPr>
          <w:rFonts w:ascii="Calibri" w:hAnsi="Calibri"/>
          <w:b w:val="0"/>
          <w:i w:val="0"/>
          <w:color w:val="1B2A32"/>
          <w:sz w:val="21"/>
        </w:rPr>
        <w:t xml:space="preserve"> (what to actually say), and </w:t>
      </w:r>
      <w:r>
        <w:rPr>
          <w:rFonts w:ascii="Calibri" w:hAnsi="Calibri"/>
          <w:b/>
          <w:i w:val="0"/>
          <w:color w:val="1B2A32"/>
          <w:sz w:val="21"/>
        </w:rPr>
        <w:t>the checklists and grids</w:t>
      </w:r>
      <w:r>
        <w:rPr>
          <w:rFonts w:ascii="Calibri" w:hAnsi="Calibri"/>
          <w:b w:val="0"/>
          <w:i w:val="0"/>
          <w:color w:val="1B2A32"/>
          <w:sz w:val="21"/>
        </w:rPr>
        <w:t xml:space="preserve"> (what to have in front of you). It assumes the Master Blueprint for the law and the Forms Pack for the documents.</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THE ONE RULE</w:t>
            </w:r>
          </w:p>
          <w:p>
            <w:r>
              <w:rPr>
                <w:rFonts w:ascii="Calibri" w:hAnsi="Calibri"/>
                <w:b w:val="0"/>
                <w:i w:val="0"/>
                <w:color w:val="1B2A32"/>
                <w:sz w:val="19"/>
              </w:rPr>
              <w:t xml:space="preserve">In this vertical the policyholder has a free statutory forum — the Insurance Ombudsman — and a clock that runs whether or not we settle. Everything in this toolkit is downstream of two obligations: </w:t>
            </w:r>
            <w:r>
              <w:rPr>
                <w:rFonts w:ascii="Calibri" w:hAnsi="Calibri"/>
                <w:b/>
                <w:i w:val="0"/>
                <w:color w:val="1B2A32"/>
                <w:sz w:val="19"/>
              </w:rPr>
              <w:t>tell them about the Ombudsman, first, every time</w:t>
            </w:r>
            <w:r>
              <w:rPr>
                <w:rFonts w:ascii="Calibri" w:hAnsi="Calibri"/>
                <w:b w:val="0"/>
                <w:i w:val="0"/>
                <w:color w:val="1B2A32"/>
                <w:sz w:val="19"/>
              </w:rPr>
              <w:t xml:space="preserve">, and </w:t>
            </w:r>
            <w:r>
              <w:rPr>
                <w:rFonts w:ascii="Calibri" w:hAnsi="Calibri"/>
                <w:b/>
                <w:i w:val="0"/>
                <w:color w:val="1B2A32"/>
                <w:sz w:val="19"/>
              </w:rPr>
              <w:t>never let a clock expire on our watch</w:t>
            </w:r>
            <w:r>
              <w:rPr>
                <w:rFonts w:ascii="Calibri" w:hAnsi="Calibri"/>
                <w:b w:val="0"/>
                <w:i w:val="0"/>
                <w:color w:val="1B2A32"/>
                <w:sz w:val="19"/>
              </w:rPr>
              <w:t>. A settlement obtained by letting someone's one-year window quietly close is not a success. It is a harm we caused.</w:t>
            </w:r>
          </w:p>
        </w:tc>
      </w:tr>
    </w:tbl>
    <w:p>
      <w:pPr>
        <w:spacing w:after="40"/>
      </w:pPr>
    </w:p>
    <w:p>
      <w:pPr>
        <w:keepNext/>
        <w:spacing w:before="280" w:after="120"/>
        <w:pBdr>
          <w:bottom w:val="single" w:sz="12" w:space="3" w:color="C6A15B"/>
        </w:pBdr>
      </w:pPr>
      <w:r>
        <w:rPr>
          <w:rFonts w:ascii="Calibri" w:hAnsi="Calibri"/>
          <w:b/>
          <w:i w:val="0"/>
          <w:color w:val="123B4F"/>
          <w:sz w:val="32"/>
        </w:rPr>
        <w:t>1.  Runbook 1 — First contact and intake</w:t>
      </w:r>
    </w:p>
    <w:p>
      <w:pPr>
        <w:keepNext/>
        <w:spacing w:before="200" w:after="60"/>
      </w:pPr>
      <w:r>
        <w:rPr>
          <w:rFonts w:ascii="Calibri" w:hAnsi="Calibri"/>
          <w:b/>
          <w:i w:val="0"/>
          <w:color w:val="1E7A8C"/>
          <w:sz w:val="25"/>
        </w:rPr>
        <w:t>1.1  1.1  Before you say anything else</w:t>
      </w:r>
    </w:p>
    <w:p>
      <w:pPr>
        <w:pStyle w:val="ListNumber"/>
        <w:spacing w:after="60"/>
        <w:jc w:val="both"/>
      </w:pPr>
      <w:r>
        <w:rPr>
          <w:rFonts w:ascii="Calibri" w:hAnsi="Calibri"/>
          <w:b w:val="0"/>
          <w:i w:val="0"/>
          <w:color w:val="1B2A32"/>
          <w:sz w:val="21"/>
        </w:rPr>
        <w:t xml:space="preserve">Deliver the </w:t>
      </w:r>
      <w:r>
        <w:rPr>
          <w:rFonts w:ascii="Calibri" w:hAnsi="Calibri"/>
          <w:b/>
          <w:i w:val="0"/>
          <w:color w:val="1B2A32"/>
          <w:sz w:val="21"/>
        </w:rPr>
        <w:t>standing signposting script</w:t>
      </w:r>
      <w:r>
        <w:rPr>
          <w:rFonts w:ascii="Calibri" w:hAnsi="Calibri"/>
          <w:b w:val="0"/>
          <w:i w:val="0"/>
          <w:color w:val="1B2A32"/>
          <w:sz w:val="21"/>
        </w:rPr>
        <w:t xml:space="preserve"> (section 3.1 below), in the party's language. Record that you did.</w:t>
      </w:r>
    </w:p>
    <w:p>
      <w:pPr>
        <w:pStyle w:val="ListNumber"/>
        <w:spacing w:after="60"/>
        <w:jc w:val="both"/>
      </w:pPr>
      <w:r>
        <w:rPr>
          <w:rFonts w:ascii="Calibri" w:hAnsi="Calibri"/>
          <w:b w:val="0"/>
          <w:i w:val="0"/>
          <w:color w:val="1B2A32"/>
          <w:sz w:val="21"/>
        </w:rPr>
        <w:t xml:space="preserve">Ask the single most important question: </w:t>
      </w:r>
      <w:r>
        <w:rPr>
          <w:rFonts w:ascii="Calibri" w:hAnsi="Calibri"/>
          <w:b/>
          <w:i w:val="0"/>
          <w:color w:val="1B2A32"/>
          <w:sz w:val="21"/>
        </w:rPr>
        <w:t>is this a retail/individual policy or a business policy?</w:t>
      </w:r>
      <w:r>
        <w:rPr>
          <w:rFonts w:ascii="Calibri" w:hAnsi="Calibri"/>
          <w:b w:val="0"/>
          <w:i w:val="0"/>
          <w:color w:val="1B2A32"/>
          <w:sz w:val="21"/>
        </w:rPr>
        <w:t xml:space="preserve"> Everything downstream turns on it.</w:t>
      </w:r>
    </w:p>
    <w:p>
      <w:pPr>
        <w:pStyle w:val="ListNumber"/>
        <w:spacing w:after="60"/>
        <w:jc w:val="both"/>
      </w:pPr>
      <w:r>
        <w:rPr>
          <w:rFonts w:ascii="Calibri" w:hAnsi="Calibri"/>
          <w:b w:val="0"/>
          <w:i w:val="0"/>
          <w:color w:val="1B2A32"/>
          <w:sz w:val="21"/>
        </w:rPr>
        <w:t xml:space="preserve">Ask whether they have complained to the insurer </w:t>
      </w:r>
      <w:r>
        <w:rPr>
          <w:rFonts w:ascii="Calibri" w:hAnsi="Calibri"/>
          <w:b/>
          <w:i w:val="0"/>
          <w:color w:val="1B2A32"/>
          <w:sz w:val="21"/>
        </w:rPr>
        <w:t>in writing</w:t>
      </w:r>
      <w:r>
        <w:rPr>
          <w:rFonts w:ascii="Calibri" w:hAnsi="Calibri"/>
          <w:b w:val="0"/>
          <w:i w:val="0"/>
          <w:color w:val="1B2A32"/>
          <w:sz w:val="21"/>
        </w:rPr>
        <w:t>, and when. If not, that is the first task — issue Form F-I04 today.</w:t>
      </w:r>
    </w:p>
    <w:p>
      <w:pPr>
        <w:pStyle w:val="ListNumber"/>
        <w:spacing w:after="60"/>
        <w:jc w:val="both"/>
      </w:pPr>
      <w:r>
        <w:rPr>
          <w:rFonts w:ascii="Calibri" w:hAnsi="Calibri"/>
          <w:b w:val="0"/>
          <w:i w:val="0"/>
          <w:color w:val="1B2A32"/>
          <w:sz w:val="21"/>
        </w:rPr>
        <w:t xml:space="preserve">Ask for the </w:t>
      </w:r>
      <w:r>
        <w:rPr>
          <w:rFonts w:ascii="Calibri" w:hAnsi="Calibri"/>
          <w:b/>
          <w:i w:val="0"/>
          <w:color w:val="1B2A32"/>
          <w:sz w:val="21"/>
        </w:rPr>
        <w:t>date of the insurer's letter</w:t>
      </w:r>
      <w:r>
        <w:rPr>
          <w:rFonts w:ascii="Calibri" w:hAnsi="Calibri"/>
          <w:b w:val="0"/>
          <w:i w:val="0"/>
          <w:color w:val="1B2A32"/>
          <w:sz w:val="21"/>
        </w:rPr>
        <w:t>. Compute the one-year Ombudsman date immediately and say it out loud.</w:t>
      </w:r>
    </w:p>
    <w:p>
      <w:pPr>
        <w:pStyle w:val="ListNumber"/>
        <w:spacing w:after="60"/>
        <w:jc w:val="both"/>
      </w:pPr>
      <w:r>
        <w:rPr>
          <w:rFonts w:ascii="Calibri" w:hAnsi="Calibri"/>
          <w:b w:val="0"/>
          <w:i w:val="0"/>
          <w:color w:val="1B2A32"/>
          <w:sz w:val="21"/>
        </w:rPr>
        <w:t>Ask whether anything is already filed in a court, consumer commission or arbitration. If so, the Ombudsman route is closed and you must say so.</w:t>
      </w:r>
    </w:p>
    <w:p>
      <w:pPr>
        <w:keepNext/>
        <w:spacing w:before="200" w:after="60"/>
      </w:pPr>
      <w:r>
        <w:rPr>
          <w:rFonts w:ascii="Calibri" w:hAnsi="Calibri"/>
          <w:b/>
          <w:i w:val="0"/>
          <w:color w:val="1E7A8C"/>
          <w:sz w:val="25"/>
        </w:rPr>
        <w:t>1.2  1.2  What you must have on the file before triage completes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7200"/>
            <w:shd w:val="clear" w:fill="123B4F"/>
          </w:tcPr>
          <w:p>
            <w:r/>
            <w:r>
              <w:rPr>
                <w:rFonts w:ascii="Calibri" w:hAnsi="Calibri"/>
                <w:b/>
                <w:i w:val="0"/>
                <w:color w:val="FFFFFF"/>
                <w:sz w:val="18"/>
              </w:rPr>
              <w:t>#</w:t>
            </w:r>
          </w:p>
        </w:tc>
        <w:tc>
          <w:tcPr>
            <w:tcW w:type="dxa" w:w="57600"/>
            <w:shd w:val="clear" w:fill="123B4F"/>
          </w:tcPr>
          <w:p>
            <w:r/>
            <w:r>
              <w:rPr>
                <w:rFonts w:ascii="Calibri" w:hAnsi="Calibri"/>
                <w:b/>
                <w:i w:val="0"/>
                <w:color w:val="FFFFFF"/>
                <w:sz w:val="18"/>
              </w:rPr>
              <w:t>Item</w:t>
            </w:r>
          </w:p>
        </w:tc>
        <w:tc>
          <w:tcPr>
            <w:tcW w:type="dxa" w:w="21600"/>
            <w:shd w:val="clear" w:fill="123B4F"/>
          </w:tcPr>
          <w:p>
            <w:r/>
            <w:r>
              <w:rPr>
                <w:rFonts w:ascii="Calibri" w:hAnsi="Calibri"/>
                <w:b/>
                <w:i w:val="0"/>
                <w:color w:val="FFFFFF"/>
                <w:sz w:val="18"/>
              </w:rPr>
              <w:t>Form</w:t>
            </w:r>
          </w:p>
        </w:tc>
        <w:tc>
          <w:tcPr>
            <w:tcW w:type="dxa" w:w="57600"/>
            <w:shd w:val="clear" w:fill="123B4F"/>
          </w:tcPr>
          <w:p>
            <w:r/>
            <w:r>
              <w:rPr>
                <w:rFonts w:ascii="Calibri" w:hAnsi="Calibri"/>
                <w:b/>
                <w:i w:val="0"/>
                <w:color w:val="FFFFFF"/>
                <w:sz w:val="18"/>
              </w:rPr>
              <w:t>If missing</w:t>
            </w:r>
          </w:p>
        </w:tc>
      </w:tr>
      <w:tr>
        <w:tc>
          <w:tcPr>
            <w:tcW w:type="dxa" w:w="7200"/>
          </w:tcPr>
          <w:p>
            <w:r/>
            <w:r>
              <w:rPr>
                <w:rFonts w:ascii="Calibri" w:hAnsi="Calibri"/>
                <w:b w:val="0"/>
                <w:i w:val="0"/>
                <w:color w:val="1B2A32"/>
                <w:sz w:val="18"/>
              </w:rPr>
              <w:t>1</w:t>
            </w:r>
          </w:p>
        </w:tc>
        <w:tc>
          <w:tcPr>
            <w:tcW w:type="dxa" w:w="57600"/>
          </w:tcPr>
          <w:p>
            <w:r/>
            <w:r>
              <w:rPr>
                <w:rFonts w:ascii="Calibri" w:hAnsi="Calibri"/>
                <w:b w:val="0"/>
                <w:i w:val="0"/>
                <w:color w:val="1B2A32"/>
                <w:sz w:val="18"/>
              </w:rPr>
              <w:t>Signposting delivered and recorded</w:t>
            </w:r>
          </w:p>
        </w:tc>
        <w:tc>
          <w:tcPr>
            <w:tcW w:type="dxa" w:w="21600"/>
          </w:tcPr>
          <w:p>
            <w:r/>
            <w:r>
              <w:rPr>
                <w:rFonts w:ascii="Calibri" w:hAnsi="Calibri"/>
                <w:b w:val="0"/>
                <w:i w:val="0"/>
                <w:color w:val="1B2A32"/>
                <w:sz w:val="18"/>
              </w:rPr>
              <w:t>—</w:t>
            </w:r>
          </w:p>
        </w:tc>
        <w:tc>
          <w:tcPr>
            <w:tcW w:type="dxa" w:w="57600"/>
          </w:tcPr>
          <w:p>
            <w:r/>
            <w:r>
              <w:rPr>
                <w:rFonts w:ascii="Calibri" w:hAnsi="Calibri"/>
                <w:b w:val="0"/>
                <w:i w:val="0"/>
                <w:color w:val="1B2A32"/>
                <w:sz w:val="18"/>
              </w:rPr>
              <w:t>Do it now. The case cannot proceed</w:t>
            </w:r>
          </w:p>
        </w:tc>
      </w:tr>
      <w:tr>
        <w:tc>
          <w:tcPr>
            <w:tcW w:type="dxa" w:w="7200"/>
            <w:shd w:val="clear" w:fill="F3F7F9"/>
          </w:tcPr>
          <w:p>
            <w:r/>
            <w:r>
              <w:rPr>
                <w:rFonts w:ascii="Calibri" w:hAnsi="Calibri"/>
                <w:b w:val="0"/>
                <w:i w:val="0"/>
                <w:color w:val="1B2A32"/>
                <w:sz w:val="18"/>
              </w:rPr>
              <w:t>2</w:t>
            </w:r>
          </w:p>
        </w:tc>
        <w:tc>
          <w:tcPr>
            <w:tcW w:type="dxa" w:w="57600"/>
            <w:shd w:val="clear" w:fill="F3F7F9"/>
          </w:tcPr>
          <w:p>
            <w:r/>
            <w:r>
              <w:rPr>
                <w:rFonts w:ascii="Calibri" w:hAnsi="Calibri"/>
                <w:b w:val="0"/>
                <w:i w:val="0"/>
                <w:color w:val="1B2A32"/>
                <w:sz w:val="18"/>
              </w:rPr>
              <w:t>Retail / commercial classification, reviewed</w:t>
            </w:r>
          </w:p>
        </w:tc>
        <w:tc>
          <w:tcPr>
            <w:tcW w:type="dxa" w:w="21600"/>
            <w:shd w:val="clear" w:fill="F3F7F9"/>
          </w:tcPr>
          <w:p>
            <w:r/>
            <w:r>
              <w:rPr>
                <w:rFonts w:ascii="Calibri" w:hAnsi="Calibri"/>
                <w:b w:val="0"/>
                <w:i w:val="0"/>
                <w:color w:val="1B2A32"/>
                <w:sz w:val="18"/>
              </w:rPr>
              <w:t>F-I13 step 1</w:t>
            </w:r>
          </w:p>
        </w:tc>
        <w:tc>
          <w:tcPr>
            <w:tcW w:type="dxa" w:w="57600"/>
            <w:shd w:val="clear" w:fill="F3F7F9"/>
          </w:tcPr>
          <w:p>
            <w:r/>
            <w:r>
              <w:rPr>
                <w:rFonts w:ascii="Calibri" w:hAnsi="Calibri"/>
                <w:b w:val="0"/>
                <w:i w:val="0"/>
                <w:color w:val="1B2A32"/>
                <w:sz w:val="18"/>
              </w:rPr>
              <w:t>Do not guess. Ask for the policy schedule</w:t>
            </w:r>
          </w:p>
        </w:tc>
      </w:tr>
      <w:tr>
        <w:tc>
          <w:tcPr>
            <w:tcW w:type="dxa" w:w="7200"/>
          </w:tcPr>
          <w:p>
            <w:r/>
            <w:r>
              <w:rPr>
                <w:rFonts w:ascii="Calibri" w:hAnsi="Calibri"/>
                <w:b w:val="0"/>
                <w:i w:val="0"/>
                <w:color w:val="1B2A32"/>
                <w:sz w:val="18"/>
              </w:rPr>
              <w:t>3</w:t>
            </w:r>
          </w:p>
        </w:tc>
        <w:tc>
          <w:tcPr>
            <w:tcW w:type="dxa" w:w="57600"/>
          </w:tcPr>
          <w:p>
            <w:r/>
            <w:r>
              <w:rPr>
                <w:rFonts w:ascii="Calibri" w:hAnsi="Calibri"/>
                <w:b w:val="0"/>
                <w:i w:val="0"/>
                <w:color w:val="1B2A32"/>
                <w:sz w:val="18"/>
              </w:rPr>
              <w:t>Ombudsman eligibility tested against all five conditions</w:t>
            </w:r>
          </w:p>
        </w:tc>
        <w:tc>
          <w:tcPr>
            <w:tcW w:type="dxa" w:w="21600"/>
          </w:tcPr>
          <w:p>
            <w:r/>
            <w:r>
              <w:rPr>
                <w:rFonts w:ascii="Calibri" w:hAnsi="Calibri"/>
                <w:b w:val="0"/>
                <w:i w:val="0"/>
                <w:color w:val="1B2A32"/>
                <w:sz w:val="18"/>
              </w:rPr>
              <w:t>F-I13 step 2</w:t>
            </w:r>
          </w:p>
        </w:tc>
        <w:tc>
          <w:tcPr>
            <w:tcW w:type="dxa" w:w="57600"/>
          </w:tcPr>
          <w:p>
            <w:r/>
            <w:r>
              <w:rPr>
                <w:rFonts w:ascii="Calibri" w:hAnsi="Calibri"/>
                <w:b w:val="0"/>
                <w:i w:val="0"/>
                <w:color w:val="1B2A32"/>
                <w:sz w:val="18"/>
              </w:rPr>
              <w:t>Record which fails and the fallback</w:t>
            </w:r>
          </w:p>
        </w:tc>
      </w:tr>
      <w:tr>
        <w:tc>
          <w:tcPr>
            <w:tcW w:type="dxa" w:w="7200"/>
            <w:shd w:val="clear" w:fill="F3F7F9"/>
          </w:tcPr>
          <w:p>
            <w:r/>
            <w:r>
              <w:rPr>
                <w:rFonts w:ascii="Calibri" w:hAnsi="Calibri"/>
                <w:b w:val="0"/>
                <w:i w:val="0"/>
                <w:color w:val="1B2A32"/>
                <w:sz w:val="18"/>
              </w:rPr>
              <w:t>4</w:t>
            </w:r>
          </w:p>
        </w:tc>
        <w:tc>
          <w:tcPr>
            <w:tcW w:type="dxa" w:w="57600"/>
            <w:shd w:val="clear" w:fill="F3F7F9"/>
          </w:tcPr>
          <w:p>
            <w:r/>
            <w:r>
              <w:rPr>
                <w:rFonts w:ascii="Calibri" w:hAnsi="Calibri"/>
                <w:b w:val="0"/>
                <w:i w:val="0"/>
                <w:color w:val="1B2A32"/>
                <w:sz w:val="18"/>
              </w:rPr>
              <w:t>Clock table complete with an owner per clock</w:t>
            </w:r>
          </w:p>
        </w:tc>
        <w:tc>
          <w:tcPr>
            <w:tcW w:type="dxa" w:w="21600"/>
            <w:shd w:val="clear" w:fill="F3F7F9"/>
          </w:tcPr>
          <w:p>
            <w:r/>
            <w:r>
              <w:rPr>
                <w:rFonts w:ascii="Calibri" w:hAnsi="Calibri"/>
                <w:b w:val="0"/>
                <w:i w:val="0"/>
                <w:color w:val="1B2A32"/>
                <w:sz w:val="18"/>
              </w:rPr>
              <w:t>F-I13 step 3</w:t>
            </w:r>
          </w:p>
        </w:tc>
        <w:tc>
          <w:tcPr>
            <w:tcW w:type="dxa" w:w="57600"/>
            <w:shd w:val="clear" w:fill="F3F7F9"/>
          </w:tcPr>
          <w:p>
            <w:r/>
            <w:r>
              <w:rPr>
                <w:rFonts w:ascii="Calibri" w:hAnsi="Calibri"/>
                <w:b w:val="0"/>
                <w:i w:val="0"/>
                <w:color w:val="1B2A32"/>
                <w:sz w:val="18"/>
              </w:rPr>
              <w:t>The system will block closure</w:t>
            </w:r>
          </w:p>
        </w:tc>
      </w:tr>
      <w:tr>
        <w:tc>
          <w:tcPr>
            <w:tcW w:type="dxa" w:w="7200"/>
          </w:tcPr>
          <w:p>
            <w:r/>
            <w:r>
              <w:rPr>
                <w:rFonts w:ascii="Calibri" w:hAnsi="Calibri"/>
                <w:b w:val="0"/>
                <w:i w:val="0"/>
                <w:color w:val="1B2A32"/>
                <w:sz w:val="18"/>
              </w:rPr>
              <w:t>5</w:t>
            </w:r>
          </w:p>
        </w:tc>
        <w:tc>
          <w:tcPr>
            <w:tcW w:type="dxa" w:w="57600"/>
          </w:tcPr>
          <w:p>
            <w:r/>
            <w:r>
              <w:rPr>
                <w:rFonts w:ascii="Calibri" w:hAnsi="Calibri"/>
                <w:b w:val="0"/>
                <w:i w:val="0"/>
                <w:color w:val="1B2A32"/>
                <w:sz w:val="18"/>
              </w:rPr>
              <w:t>Written representation to the insurer</w:t>
            </w:r>
          </w:p>
        </w:tc>
        <w:tc>
          <w:tcPr>
            <w:tcW w:type="dxa" w:w="21600"/>
          </w:tcPr>
          <w:p>
            <w:r/>
            <w:r>
              <w:rPr>
                <w:rFonts w:ascii="Calibri" w:hAnsi="Calibri"/>
                <w:b w:val="0"/>
                <w:i w:val="0"/>
                <w:color w:val="1B2A32"/>
                <w:sz w:val="18"/>
              </w:rPr>
              <w:t>F-I04</w:t>
            </w:r>
          </w:p>
        </w:tc>
        <w:tc>
          <w:tcPr>
            <w:tcW w:type="dxa" w:w="57600"/>
          </w:tcPr>
          <w:p>
            <w:r/>
            <w:r>
              <w:rPr>
                <w:rFonts w:ascii="Calibri" w:hAnsi="Calibri"/>
                <w:b w:val="0"/>
                <w:i w:val="0"/>
                <w:color w:val="1B2A32"/>
                <w:sz w:val="18"/>
              </w:rPr>
              <w:t>Issue it; re-triage after 30 days</w:t>
            </w:r>
          </w:p>
        </w:tc>
      </w:tr>
      <w:tr>
        <w:tc>
          <w:tcPr>
            <w:tcW w:type="dxa" w:w="7200"/>
            <w:shd w:val="clear" w:fill="F3F7F9"/>
          </w:tcPr>
          <w:p>
            <w:r/>
            <w:r>
              <w:rPr>
                <w:rFonts w:ascii="Calibri" w:hAnsi="Calibri"/>
                <w:b w:val="0"/>
                <w:i w:val="0"/>
                <w:color w:val="1B2A32"/>
                <w:sz w:val="18"/>
              </w:rPr>
              <w:t>6</w:t>
            </w:r>
          </w:p>
        </w:tc>
        <w:tc>
          <w:tcPr>
            <w:tcW w:type="dxa" w:w="57600"/>
            <w:shd w:val="clear" w:fill="F3F7F9"/>
          </w:tcPr>
          <w:p>
            <w:r/>
            <w:r>
              <w:rPr>
                <w:rFonts w:ascii="Calibri" w:hAnsi="Calibri"/>
                <w:b w:val="0"/>
                <w:i w:val="0"/>
                <w:color w:val="1B2A32"/>
                <w:sz w:val="18"/>
              </w:rPr>
              <w:t>Bima Bharosa token</w:t>
            </w:r>
          </w:p>
        </w:tc>
        <w:tc>
          <w:tcPr>
            <w:tcW w:type="dxa" w:w="21600"/>
            <w:shd w:val="clear" w:fill="F3F7F9"/>
          </w:tcPr>
          <w:p>
            <w:r/>
            <w:r>
              <w:rPr>
                <w:rFonts w:ascii="Calibri" w:hAnsi="Calibri"/>
                <w:b w:val="0"/>
                <w:i w:val="0"/>
                <w:color w:val="1B2A32"/>
                <w:sz w:val="18"/>
              </w:rPr>
              <w:t>—</w:t>
            </w:r>
          </w:p>
        </w:tc>
        <w:tc>
          <w:tcPr>
            <w:tcW w:type="dxa" w:w="57600"/>
            <w:shd w:val="clear" w:fill="F3F7F9"/>
          </w:tcPr>
          <w:p>
            <w:r/>
            <w:r>
              <w:rPr>
                <w:rFonts w:ascii="Calibri" w:hAnsi="Calibri"/>
                <w:b w:val="0"/>
                <w:i w:val="0"/>
                <w:color w:val="1B2A32"/>
                <w:sz w:val="18"/>
              </w:rPr>
              <w:t>Prompt the party; it takes minutes and it is free</w:t>
            </w:r>
          </w:p>
        </w:tc>
      </w:tr>
      <w:tr>
        <w:tc>
          <w:tcPr>
            <w:tcW w:type="dxa" w:w="7200"/>
          </w:tcPr>
          <w:p>
            <w:r/>
            <w:r>
              <w:rPr>
                <w:rFonts w:ascii="Calibri" w:hAnsi="Calibri"/>
                <w:b w:val="0"/>
                <w:i w:val="0"/>
                <w:color w:val="1B2A32"/>
                <w:sz w:val="18"/>
              </w:rPr>
              <w:t>7</w:t>
            </w:r>
          </w:p>
        </w:tc>
        <w:tc>
          <w:tcPr>
            <w:tcW w:type="dxa" w:w="57600"/>
          </w:tcPr>
          <w:p>
            <w:r/>
            <w:r>
              <w:rPr>
                <w:rFonts w:ascii="Calibri" w:hAnsi="Calibri"/>
                <w:b w:val="0"/>
                <w:i w:val="0"/>
                <w:color w:val="1B2A32"/>
                <w:sz w:val="18"/>
              </w:rPr>
              <w:t>DPDP consent including the separate health-data consent</w:t>
            </w:r>
          </w:p>
        </w:tc>
        <w:tc>
          <w:tcPr>
            <w:tcW w:type="dxa" w:w="21600"/>
          </w:tcPr>
          <w:p>
            <w:r/>
            <w:r>
              <w:rPr>
                <w:rFonts w:ascii="Calibri" w:hAnsi="Calibri"/>
                <w:b w:val="0"/>
                <w:i w:val="0"/>
                <w:color w:val="1B2A32"/>
                <w:sz w:val="18"/>
              </w:rPr>
              <w:t>F-I01</w:t>
            </w:r>
          </w:p>
        </w:tc>
        <w:tc>
          <w:tcPr>
            <w:tcW w:type="dxa" w:w="57600"/>
          </w:tcPr>
          <w:p>
            <w:r/>
            <w:r>
              <w:rPr>
                <w:rFonts w:ascii="Calibri" w:hAnsi="Calibri"/>
                <w:b w:val="0"/>
                <w:i w:val="0"/>
                <w:color w:val="1B2A32"/>
                <w:sz w:val="18"/>
              </w:rPr>
              <w:t>No medical record may be requested</w:t>
            </w:r>
          </w:p>
        </w:tc>
      </w:tr>
      <w:tr>
        <w:tc>
          <w:tcPr>
            <w:tcW w:type="dxa" w:w="7200"/>
            <w:shd w:val="clear" w:fill="F3F7F9"/>
          </w:tcPr>
          <w:p>
            <w:r/>
            <w:r>
              <w:rPr>
                <w:rFonts w:ascii="Calibri" w:hAnsi="Calibri"/>
                <w:b w:val="0"/>
                <w:i w:val="0"/>
                <w:color w:val="1B2A32"/>
                <w:sz w:val="18"/>
              </w:rPr>
              <w:t>8</w:t>
            </w:r>
          </w:p>
        </w:tc>
        <w:tc>
          <w:tcPr>
            <w:tcW w:type="dxa" w:w="57600"/>
            <w:shd w:val="clear" w:fill="F3F7F9"/>
          </w:tcPr>
          <w:p>
            <w:r/>
            <w:r>
              <w:rPr>
                <w:rFonts w:ascii="Calibri" w:hAnsi="Calibri"/>
                <w:b w:val="0"/>
                <w:i w:val="0"/>
                <w:color w:val="1B2A32"/>
                <w:sz w:val="18"/>
              </w:rPr>
              <w:t>Vulnerability assessed and safeguards recorded</w:t>
            </w:r>
          </w:p>
        </w:tc>
        <w:tc>
          <w:tcPr>
            <w:tcW w:type="dxa" w:w="21600"/>
            <w:shd w:val="clear" w:fill="F3F7F9"/>
          </w:tcPr>
          <w:p>
            <w:r/>
            <w:r>
              <w:rPr>
                <w:rFonts w:ascii="Calibri" w:hAnsi="Calibri"/>
                <w:b w:val="0"/>
                <w:i w:val="0"/>
                <w:color w:val="1B2A32"/>
                <w:sz w:val="18"/>
              </w:rPr>
              <w:t>F-I13 step 4</w:t>
            </w:r>
          </w:p>
        </w:tc>
        <w:tc>
          <w:tcPr>
            <w:tcW w:type="dxa" w:w="57600"/>
            <w:shd w:val="clear" w:fill="F3F7F9"/>
          </w:tcPr>
          <w:p>
            <w:r/>
            <w:r>
              <w:rPr>
                <w:rFonts w:ascii="Calibri" w:hAnsi="Calibri"/>
                <w:b w:val="0"/>
                <w:i w:val="0"/>
                <w:color w:val="1B2A32"/>
                <w:sz w:val="18"/>
              </w:rPr>
              <w:t>Assess before the first session</w:t>
            </w:r>
          </w:p>
        </w:tc>
      </w:tr>
    </w:tbl>
    <w:p>
      <w:pPr>
        <w:spacing w:after="40"/>
      </w:pPr>
    </w:p>
    <w:p>
      <w:pPr>
        <w:keepNext/>
        <w:spacing w:before="280" w:after="120"/>
        <w:pBdr>
          <w:bottom w:val="single" w:sz="12" w:space="3" w:color="C6A15B"/>
        </w:pBdr>
      </w:pPr>
      <w:r>
        <w:rPr>
          <w:rFonts w:ascii="Calibri" w:hAnsi="Calibri"/>
          <w:b/>
          <w:i w:val="0"/>
          <w:color w:val="123B4F"/>
          <w:sz w:val="32"/>
        </w:rPr>
        <w:t>2.  Runbook 2 — Getting the claim file</w:t>
      </w:r>
    </w:p>
    <w:p>
      <w:pPr>
        <w:spacing w:after="120"/>
        <w:jc w:val="both"/>
      </w:pPr>
      <w:r>
        <w:rPr>
          <w:rFonts w:ascii="Calibri" w:hAnsi="Calibri"/>
          <w:b w:val="0"/>
          <w:i w:val="0"/>
          <w:color w:val="1B2A32"/>
          <w:sz w:val="21"/>
        </w:rPr>
        <w:t>The single biggest structural advantage the insurer has is that it holds the evidence. Correcting that is the first substantive thing Equator does.</w:t>
      </w:r>
    </w:p>
    <w:p>
      <w:pPr>
        <w:pStyle w:val="ListNumber"/>
        <w:spacing w:after="60"/>
        <w:jc w:val="both"/>
      </w:pPr>
      <w:r>
        <w:rPr>
          <w:rFonts w:ascii="Calibri" w:hAnsi="Calibri"/>
          <w:b w:val="0"/>
          <w:i w:val="0"/>
          <w:color w:val="1B2A32"/>
          <w:sz w:val="21"/>
        </w:rPr>
        <w:t xml:space="preserve">Issue </w:t>
      </w:r>
      <w:r>
        <w:rPr>
          <w:rFonts w:ascii="Calibri" w:hAnsi="Calibri"/>
          <w:b/>
          <w:i w:val="0"/>
          <w:color w:val="1B2A32"/>
          <w:sz w:val="21"/>
        </w:rPr>
        <w:t>Form F-I03</w:t>
      </w:r>
      <w:r>
        <w:rPr>
          <w:rFonts w:ascii="Calibri" w:hAnsi="Calibri"/>
          <w:b w:val="0"/>
          <w:i w:val="0"/>
          <w:color w:val="1B2A32"/>
          <w:sz w:val="21"/>
        </w:rPr>
        <w:t xml:space="preserve"> to the insurer's grievance officer and claims head, with the policy and claim numbers.</w:t>
      </w:r>
    </w:p>
    <w:p>
      <w:pPr>
        <w:pStyle w:val="ListNumber"/>
        <w:spacing w:after="60"/>
        <w:jc w:val="both"/>
      </w:pPr>
      <w:r>
        <w:rPr>
          <w:rFonts w:ascii="Calibri" w:hAnsi="Calibri"/>
          <w:b w:val="0"/>
          <w:i w:val="0"/>
          <w:color w:val="1B2A32"/>
          <w:sz w:val="21"/>
        </w:rPr>
        <w:t xml:space="preserve">Ask specifically for: the </w:t>
      </w:r>
      <w:r>
        <w:rPr>
          <w:rFonts w:ascii="Calibri" w:hAnsi="Calibri"/>
          <w:b/>
          <w:i w:val="0"/>
          <w:color w:val="1B2A32"/>
          <w:sz w:val="21"/>
        </w:rPr>
        <w:t>policy schedule and full wordings</w:t>
      </w:r>
      <w:r>
        <w:rPr>
          <w:rFonts w:ascii="Calibri" w:hAnsi="Calibri"/>
          <w:b w:val="0"/>
          <w:i w:val="0"/>
          <w:color w:val="1B2A32"/>
          <w:sz w:val="21"/>
        </w:rPr>
        <w:t xml:space="preserve"> as at the date of loss; the </w:t>
      </w:r>
      <w:r>
        <w:rPr>
          <w:rFonts w:ascii="Calibri" w:hAnsi="Calibri"/>
          <w:b/>
          <w:i w:val="0"/>
          <w:color w:val="1B2A32"/>
          <w:sz w:val="21"/>
        </w:rPr>
        <w:t>proposal form</w:t>
      </w:r>
      <w:r>
        <w:rPr>
          <w:rFonts w:ascii="Calibri" w:hAnsi="Calibri"/>
          <w:b w:val="0"/>
          <w:i w:val="0"/>
          <w:color w:val="1B2A32"/>
          <w:sz w:val="21"/>
        </w:rPr>
        <w:t xml:space="preserve">; the </w:t>
      </w:r>
      <w:r>
        <w:rPr>
          <w:rFonts w:ascii="Calibri" w:hAnsi="Calibri"/>
          <w:b/>
          <w:i w:val="0"/>
          <w:color w:val="1B2A32"/>
          <w:sz w:val="21"/>
        </w:rPr>
        <w:t>repudiation or computation letter</w:t>
      </w:r>
      <w:r>
        <w:rPr>
          <w:rFonts w:ascii="Calibri" w:hAnsi="Calibri"/>
          <w:b w:val="0"/>
          <w:i w:val="0"/>
          <w:color w:val="1B2A32"/>
          <w:sz w:val="21"/>
        </w:rPr>
        <w:t xml:space="preserve">; the </w:t>
      </w:r>
      <w:r>
        <w:rPr>
          <w:rFonts w:ascii="Calibri" w:hAnsi="Calibri"/>
          <w:b/>
          <w:i w:val="0"/>
          <w:color w:val="1B2A32"/>
          <w:sz w:val="21"/>
        </w:rPr>
        <w:t>surveyor's or investigator's report</w:t>
      </w:r>
      <w:r>
        <w:rPr>
          <w:rFonts w:ascii="Calibri" w:hAnsi="Calibri"/>
          <w:b w:val="0"/>
          <w:i w:val="0"/>
          <w:color w:val="1B2A32"/>
          <w:sz w:val="21"/>
        </w:rPr>
        <w:t xml:space="preserve">; and, for health, the </w:t>
      </w:r>
      <w:r>
        <w:rPr>
          <w:rFonts w:ascii="Calibri" w:hAnsi="Calibri"/>
          <w:b/>
          <w:i w:val="0"/>
          <w:color w:val="1B2A32"/>
          <w:sz w:val="21"/>
        </w:rPr>
        <w:t>TPA's computation sheet showing the order in which deductions were applied</w:t>
      </w:r>
      <w:r>
        <w:rPr>
          <w:rFonts w:ascii="Calibri" w:hAnsi="Calibri"/>
          <w:b w:val="0"/>
          <w:i w:val="0"/>
          <w:color w:val="1B2A32"/>
          <w:sz w:val="21"/>
        </w:rPr>
        <w:t>.</w:t>
      </w:r>
    </w:p>
    <w:p>
      <w:pPr>
        <w:pStyle w:val="ListNumber"/>
        <w:spacing w:after="60"/>
        <w:jc w:val="both"/>
      </w:pPr>
      <w:r>
        <w:rPr>
          <w:rFonts w:ascii="Calibri" w:hAnsi="Calibri"/>
          <w:b w:val="0"/>
          <w:i w:val="0"/>
          <w:color w:val="1B2A32"/>
          <w:sz w:val="21"/>
        </w:rPr>
        <w:t xml:space="preserve">Set a </w:t>
      </w:r>
      <w:r>
        <w:rPr>
          <w:rFonts w:ascii="Calibri" w:hAnsi="Calibri"/>
          <w:b/>
          <w:i w:val="0"/>
          <w:color w:val="1B2A32"/>
          <w:sz w:val="21"/>
        </w:rPr>
        <w:t>14-day</w:t>
      </w:r>
      <w:r>
        <w:rPr>
          <w:rFonts w:ascii="Calibri" w:hAnsi="Calibri"/>
          <w:b w:val="0"/>
          <w:i w:val="0"/>
          <w:color w:val="1B2A32"/>
          <w:sz w:val="21"/>
        </w:rPr>
        <w:t xml:space="preserve"> date. Diarise it.</w:t>
      </w:r>
    </w:p>
    <w:p>
      <w:pPr>
        <w:pStyle w:val="ListNumber"/>
        <w:spacing w:after="60"/>
        <w:jc w:val="both"/>
      </w:pPr>
      <w:r>
        <w:rPr>
          <w:rFonts w:ascii="Calibri" w:hAnsi="Calibri"/>
          <w:b w:val="0"/>
          <w:i w:val="0"/>
          <w:color w:val="1B2A32"/>
          <w:sz w:val="21"/>
        </w:rPr>
        <w:t xml:space="preserve">If the report is withheld, do not argue about it — </w:t>
      </w:r>
      <w:r>
        <w:rPr>
          <w:rFonts w:ascii="Calibri" w:hAnsi="Calibri"/>
          <w:b/>
          <w:i w:val="0"/>
          <w:color w:val="1B2A32"/>
          <w:sz w:val="21"/>
        </w:rPr>
        <w:t>record the non-production on the file</w:t>
      </w:r>
      <w:r>
        <w:rPr>
          <w:rFonts w:ascii="Calibri" w:hAnsi="Calibri"/>
          <w:b w:val="0"/>
          <w:i w:val="0"/>
          <w:color w:val="1B2A32"/>
          <w:sz w:val="21"/>
        </w:rPr>
        <w:t>. A neutral noting that an insurer relied on a report it would not produce is a fact that moves negotiations.</w:t>
      </w:r>
    </w:p>
    <w:p>
      <w:pPr>
        <w:pStyle w:val="ListNumber"/>
        <w:spacing w:after="60"/>
        <w:jc w:val="both"/>
      </w:pPr>
      <w:r>
        <w:rPr>
          <w:rFonts w:ascii="Calibri" w:hAnsi="Calibri"/>
          <w:b w:val="0"/>
          <w:i w:val="0"/>
          <w:color w:val="1B2A32"/>
          <w:sz w:val="21"/>
        </w:rPr>
        <w:t xml:space="preserve">When the file arrives, build the schedules </w:t>
      </w:r>
      <w:r>
        <w:rPr>
          <w:rFonts w:ascii="Calibri" w:hAnsi="Calibri"/>
          <w:b/>
          <w:i w:val="0"/>
          <w:color w:val="1B2A32"/>
          <w:sz w:val="21"/>
        </w:rPr>
        <w:t>before</w:t>
      </w:r>
      <w:r>
        <w:rPr>
          <w:rFonts w:ascii="Calibri" w:hAnsi="Calibri"/>
          <w:b w:val="0"/>
          <w:i w:val="0"/>
          <w:color w:val="1B2A32"/>
          <w:sz w:val="21"/>
        </w:rPr>
        <w:t xml:space="preserve"> convening anything (Runbook 3).</w:t>
      </w: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WHAT TO SAY WHEN AN INSURER REFUSES THE SURVEY REPORT</w:t>
            </w:r>
          </w:p>
          <w:p>
            <w:r>
              <w:rPr>
                <w:rFonts w:ascii="Calibri" w:hAnsi="Calibri"/>
                <w:b w:val="0"/>
                <w:i w:val="0"/>
                <w:color w:val="1B2A32"/>
                <w:sz w:val="19"/>
              </w:rPr>
              <w:t>“We're not asking you to waive anything. You've relied on that report to decide the claim, and the policyholder is being asked to respond to a decision they can't see the basis of. If it isn't produced, we'll simply record on the file that it was relied on and not produced, and the mediation will proceed on the material we do have.”</w:t>
            </w:r>
          </w:p>
        </w:tc>
      </w:tr>
    </w:tbl>
    <w:p>
      <w:pPr>
        <w:spacing w:after="40"/>
      </w:pPr>
    </w:p>
    <w:p>
      <w:pPr>
        <w:keepNext/>
        <w:spacing w:before="280" w:after="120"/>
        <w:pBdr>
          <w:bottom w:val="single" w:sz="12" w:space="3" w:color="C6A15B"/>
        </w:pBdr>
      </w:pPr>
      <w:r>
        <w:rPr>
          <w:rFonts w:ascii="Calibri" w:hAnsi="Calibri"/>
          <w:b/>
          <w:i w:val="0"/>
          <w:color w:val="123B4F"/>
          <w:sz w:val="32"/>
        </w:rPr>
        <w:t>3.  Runbook 3 — Building the schedules</w:t>
      </w:r>
    </w:p>
    <w:p>
      <w:pPr>
        <w:keepNext/>
        <w:spacing w:before="200" w:after="60"/>
      </w:pPr>
      <w:r>
        <w:rPr>
          <w:rFonts w:ascii="Calibri" w:hAnsi="Calibri"/>
          <w:b/>
          <w:i w:val="0"/>
          <w:color w:val="1E7A8C"/>
          <w:sz w:val="25"/>
        </w:rPr>
        <w:t>3.1  3.1  The ground-by-ground schedule (every case)</w:t>
      </w:r>
    </w:p>
    <w:p>
      <w:pPr>
        <w:spacing w:after="120"/>
        <w:jc w:val="both"/>
      </w:pPr>
      <w:r>
        <w:rPr>
          <w:rFonts w:ascii="Calibri" w:hAnsi="Calibri"/>
          <w:b w:val="0"/>
          <w:i w:val="0"/>
          <w:color w:val="1B2A32"/>
          <w:sz w:val="21"/>
        </w:rPr>
        <w:t>One row per ground the insurer relies on. Columns: the ground · the clause cited · the policyholder's answer · the document that proves it. Never accept a bundled repudiation letter as a single position — split it.</w:t>
      </w:r>
    </w:p>
    <w:p>
      <w:pPr>
        <w:keepNext/>
        <w:spacing w:before="200" w:after="60"/>
      </w:pPr>
      <w:r>
        <w:rPr>
          <w:rFonts w:ascii="Calibri" w:hAnsi="Calibri"/>
          <w:b/>
          <w:i w:val="0"/>
          <w:color w:val="1E7A8C"/>
          <w:sz w:val="25"/>
        </w:rPr>
        <w:t>3.2  3.2  The four-tests grid (every repudiation)</w:t>
      </w:r>
    </w:p>
    <w:tbl>
      <w:tblPr>
        <w:tblStyle w:val="TableGrid"/>
        <w:tblW w:type="auto" w:w="0"/>
        <w:jc w:val="center"/>
        <w:tblLook w:firstColumn="1" w:firstRow="1" w:lastColumn="0" w:lastRow="0" w:noHBand="0" w:noVBand="1" w:val="04A0"/>
      </w:tblPr>
      <w:tblGrid>
        <w:gridCol w:w="3168"/>
        <w:gridCol w:w="3168"/>
        <w:gridCol w:w="3168"/>
      </w:tblGrid>
      <w:tr>
        <w:tc>
          <w:tcPr>
            <w:tcW w:type="dxa" w:w="23040"/>
            <w:shd w:val="clear" w:fill="123B4F"/>
          </w:tcPr>
          <w:p>
            <w:r/>
            <w:r>
              <w:rPr>
                <w:rFonts w:ascii="Calibri" w:hAnsi="Calibri"/>
                <w:b/>
                <w:i w:val="0"/>
                <w:color w:val="FFFFFF"/>
                <w:sz w:val="18"/>
              </w:rPr>
              <w:t>Test</w:t>
            </w:r>
          </w:p>
        </w:tc>
        <w:tc>
          <w:tcPr>
            <w:tcW w:type="dxa" w:w="66240"/>
            <w:shd w:val="clear" w:fill="123B4F"/>
          </w:tcPr>
          <w:p>
            <w:r/>
            <w:r>
              <w:rPr>
                <w:rFonts w:ascii="Calibri" w:hAnsi="Calibri"/>
                <w:b/>
                <w:i w:val="0"/>
                <w:color w:val="FFFFFF"/>
                <w:sz w:val="18"/>
              </w:rPr>
              <w:t>The question you ask the insurer</w:t>
            </w:r>
          </w:p>
        </w:tc>
        <w:tc>
          <w:tcPr>
            <w:tcW w:type="dxa" w:w="54720"/>
            <w:shd w:val="clear" w:fill="123B4F"/>
          </w:tcPr>
          <w:p>
            <w:r/>
            <w:r>
              <w:rPr>
                <w:rFonts w:ascii="Calibri" w:hAnsi="Calibri"/>
                <w:b/>
                <w:i w:val="0"/>
                <w:color w:val="FFFFFF"/>
                <w:sz w:val="18"/>
              </w:rPr>
              <w:t>What usually happens</w:t>
            </w:r>
          </w:p>
        </w:tc>
      </w:tr>
      <w:tr>
        <w:tc>
          <w:tcPr>
            <w:tcW w:type="dxa" w:w="23040"/>
          </w:tcPr>
          <w:p>
            <w:r/>
            <w:r>
              <w:rPr>
                <w:rFonts w:ascii="Calibri" w:hAnsi="Calibri"/>
                <w:b w:val="0"/>
                <w:i w:val="0"/>
                <w:color w:val="1B2A32"/>
                <w:sz w:val="18"/>
              </w:rPr>
              <w:t>Materiality</w:t>
            </w:r>
          </w:p>
        </w:tc>
        <w:tc>
          <w:tcPr>
            <w:tcW w:type="dxa" w:w="66240"/>
          </w:tcPr>
          <w:p>
            <w:r/>
            <w:r>
              <w:rPr>
                <w:rFonts w:ascii="Calibri" w:hAnsi="Calibri"/>
                <w:b w:val="0"/>
                <w:i w:val="0"/>
                <w:color w:val="1B2A32"/>
                <w:sz w:val="18"/>
              </w:rPr>
              <w:t>Was this fact material to the risk, judged at the proposal — and what would you have done differently if you had known it?</w:t>
            </w:r>
          </w:p>
        </w:tc>
        <w:tc>
          <w:tcPr>
            <w:tcW w:type="dxa" w:w="54720"/>
          </w:tcPr>
          <w:p>
            <w:r/>
            <w:r>
              <w:rPr>
                <w:rFonts w:ascii="Calibri" w:hAnsi="Calibri"/>
                <w:b w:val="0"/>
                <w:i w:val="0"/>
                <w:color w:val="1B2A32"/>
                <w:sz w:val="18"/>
              </w:rPr>
              <w:t>Where underwriting would not have changed, the ground weakens sharply</w:t>
            </w:r>
          </w:p>
        </w:tc>
      </w:tr>
      <w:tr>
        <w:tc>
          <w:tcPr>
            <w:tcW w:type="dxa" w:w="23040"/>
            <w:shd w:val="clear" w:fill="F3F7F9"/>
          </w:tcPr>
          <w:p>
            <w:r/>
            <w:r>
              <w:rPr>
                <w:rFonts w:ascii="Calibri" w:hAnsi="Calibri"/>
                <w:b w:val="0"/>
                <w:i w:val="0"/>
                <w:color w:val="1B2A32"/>
                <w:sz w:val="18"/>
              </w:rPr>
              <w:t>Proximate cause</w:t>
            </w:r>
          </w:p>
        </w:tc>
        <w:tc>
          <w:tcPr>
            <w:tcW w:type="dxa" w:w="66240"/>
            <w:shd w:val="clear" w:fill="F3F7F9"/>
          </w:tcPr>
          <w:p>
            <w:r/>
            <w:r>
              <w:rPr>
                <w:rFonts w:ascii="Calibri" w:hAnsi="Calibri"/>
                <w:b w:val="0"/>
                <w:i w:val="0"/>
                <w:color w:val="1B2A32"/>
                <w:sz w:val="18"/>
              </w:rPr>
              <w:t>What was the dominant, effective cause of this loss?</w:t>
            </w:r>
          </w:p>
        </w:tc>
        <w:tc>
          <w:tcPr>
            <w:tcW w:type="dxa" w:w="54720"/>
            <w:shd w:val="clear" w:fill="F3F7F9"/>
          </w:tcPr>
          <w:p>
            <w:r/>
            <w:r>
              <w:rPr>
                <w:rFonts w:ascii="Calibri" w:hAnsi="Calibri"/>
                <w:b w:val="0"/>
                <w:i w:val="0"/>
                <w:color w:val="1B2A32"/>
                <w:sz w:val="18"/>
              </w:rPr>
              <w:t>Excluded events in the chain that did not dominate the loss fall away</w:t>
            </w:r>
          </w:p>
        </w:tc>
      </w:tr>
      <w:tr>
        <w:tc>
          <w:tcPr>
            <w:tcW w:type="dxa" w:w="23040"/>
          </w:tcPr>
          <w:p>
            <w:r/>
            <w:r>
              <w:rPr>
                <w:rFonts w:ascii="Calibri" w:hAnsi="Calibri"/>
                <w:b w:val="0"/>
                <w:i w:val="0"/>
                <w:color w:val="1B2A32"/>
                <w:sz w:val="18"/>
              </w:rPr>
              <w:t>Contra proferentem</w:t>
            </w:r>
          </w:p>
        </w:tc>
        <w:tc>
          <w:tcPr>
            <w:tcW w:type="dxa" w:w="66240"/>
          </w:tcPr>
          <w:p>
            <w:r/>
            <w:r>
              <w:rPr>
                <w:rFonts w:ascii="Calibri" w:hAnsi="Calibri"/>
                <w:b w:val="0"/>
                <w:i w:val="0"/>
                <w:color w:val="1B2A32"/>
                <w:sz w:val="18"/>
              </w:rPr>
              <w:t>Whose wording is this, and does it admit of another reading?</w:t>
            </w:r>
          </w:p>
        </w:tc>
        <w:tc>
          <w:tcPr>
            <w:tcW w:type="dxa" w:w="54720"/>
          </w:tcPr>
          <w:p>
            <w:r/>
            <w:r>
              <w:rPr>
                <w:rFonts w:ascii="Calibri" w:hAnsi="Calibri"/>
                <w:b w:val="0"/>
                <w:i w:val="0"/>
                <w:color w:val="1B2A32"/>
                <w:sz w:val="18"/>
              </w:rPr>
              <w:t>Ambiguity in a definition is the insurer's problem, not the policyholder's</w:t>
            </w:r>
          </w:p>
        </w:tc>
      </w:tr>
      <w:tr>
        <w:tc>
          <w:tcPr>
            <w:tcW w:type="dxa" w:w="23040"/>
            <w:shd w:val="clear" w:fill="F3F7F9"/>
          </w:tcPr>
          <w:p>
            <w:r/>
            <w:r>
              <w:rPr>
                <w:rFonts w:ascii="Calibri" w:hAnsi="Calibri"/>
                <w:b w:val="0"/>
                <w:i w:val="0"/>
                <w:color w:val="1B2A32"/>
                <w:sz w:val="18"/>
              </w:rPr>
              <w:t>Fair dealing</w:t>
            </w:r>
          </w:p>
        </w:tc>
        <w:tc>
          <w:tcPr>
            <w:tcW w:type="dxa" w:w="66240"/>
            <w:shd w:val="clear" w:fill="F3F7F9"/>
          </w:tcPr>
          <w:p>
            <w:r/>
            <w:r>
              <w:rPr>
                <w:rFonts w:ascii="Calibri" w:hAnsi="Calibri"/>
                <w:b w:val="0"/>
                <w:i w:val="0"/>
                <w:color w:val="1B2A32"/>
                <w:sz w:val="18"/>
              </w:rPr>
              <w:t>Was this exclusion disclosed, explained and legible at the point of sale?</w:t>
            </w:r>
          </w:p>
        </w:tc>
        <w:tc>
          <w:tcPr>
            <w:tcW w:type="dxa" w:w="54720"/>
            <w:shd w:val="clear" w:fill="F3F7F9"/>
          </w:tcPr>
          <w:p>
            <w:r/>
            <w:r>
              <w:rPr>
                <w:rFonts w:ascii="Calibri" w:hAnsi="Calibri"/>
                <w:b w:val="0"/>
                <w:i w:val="0"/>
                <w:color w:val="1B2A32"/>
                <w:sz w:val="18"/>
              </w:rPr>
              <w:t>In bancassurance and telesales matters this is frequently decisive</w:t>
            </w:r>
          </w:p>
        </w:tc>
      </w:tr>
    </w:tbl>
    <w:p>
      <w:pPr>
        <w:spacing w:after="40"/>
      </w:pPr>
    </w:p>
    <w:p>
      <w:pPr>
        <w:keepNext/>
        <w:spacing w:before="200" w:after="60"/>
      </w:pPr>
      <w:r>
        <w:rPr>
          <w:rFonts w:ascii="Calibri" w:hAnsi="Calibri"/>
          <w:b/>
          <w:i w:val="0"/>
          <w:color w:val="1E7A8C"/>
          <w:sz w:val="25"/>
        </w:rPr>
        <w:t>3.3  3.3  The line-item schedule (every deduction case)</w:t>
      </w:r>
    </w:p>
    <w:p>
      <w:pPr>
        <w:spacing w:after="120"/>
        <w:jc w:val="both"/>
      </w:pPr>
      <w:r>
        <w:rPr>
          <w:rFonts w:ascii="Calibri" w:hAnsi="Calibri"/>
          <w:b w:val="0"/>
          <w:i w:val="0"/>
          <w:color w:val="1B2A32"/>
          <w:sz w:val="21"/>
        </w:rPr>
        <w:t xml:space="preserve">The highest-yield document in the vertical. One row per head of charge: billed · allowed · deducted · reason · whether that head </w:t>
      </w:r>
      <w:r>
        <w:rPr>
          <w:rFonts w:ascii="Calibri" w:hAnsi="Calibri"/>
          <w:b/>
          <w:i w:val="0"/>
          <w:color w:val="1B2A32"/>
          <w:sz w:val="21"/>
        </w:rPr>
        <w:t>actually varies with room category</w:t>
      </w:r>
      <w:r>
        <w:rPr>
          <w:rFonts w:ascii="Calibri" w:hAnsi="Calibri"/>
          <w:b w:val="0"/>
          <w:i w:val="0"/>
          <w:color w:val="1B2A32"/>
          <w:sz w:val="21"/>
        </w:rPr>
        <w:t xml:space="preserve"> · the answer. Use the </w:t>
      </w:r>
      <w:r>
        <w:rPr>
          <w:rFonts w:ascii="Calibri" w:hAnsi="Calibri"/>
          <w:b/>
          <w:i w:val="0"/>
          <w:color w:val="1B2A32"/>
          <w:sz w:val="21"/>
        </w:rPr>
        <w:t>Health Claim Deduction Analyser</w:t>
      </w:r>
      <w:r>
        <w:rPr>
          <w:rFonts w:ascii="Calibri" w:hAnsi="Calibri"/>
          <w:b w:val="0"/>
          <w:i w:val="0"/>
          <w:color w:val="1B2A32"/>
          <w:sz w:val="21"/>
        </w:rPr>
        <w:t xml:space="preserve"> workbook; it recomputes proportionality correctly and flags the two errors insurers make most: proportionality applied to heads that do not vary with the room, and co-pay applied </w:t>
      </w:r>
      <w:r>
        <w:rPr>
          <w:rFonts w:ascii="Calibri" w:hAnsi="Calibri"/>
          <w:b/>
          <w:i w:val="0"/>
          <w:color w:val="1B2A32"/>
          <w:sz w:val="21"/>
        </w:rPr>
        <w:t>after</w:t>
      </w:r>
      <w:r>
        <w:rPr>
          <w:rFonts w:ascii="Calibri" w:hAnsi="Calibri"/>
          <w:b w:val="0"/>
          <w:i w:val="0"/>
          <w:color w:val="1B2A32"/>
          <w:sz w:val="21"/>
        </w:rPr>
        <w:t xml:space="preserve"> a proportionate reduction rather than before.</w:t>
      </w:r>
    </w:p>
    <w:p>
      <w:pPr>
        <w:keepNext/>
        <w:spacing w:before="200" w:after="60"/>
      </w:pPr>
      <w:r>
        <w:rPr>
          <w:rFonts w:ascii="Calibri" w:hAnsi="Calibri"/>
          <w:b/>
          <w:i w:val="0"/>
          <w:color w:val="1E7A8C"/>
          <w:sz w:val="25"/>
        </w:rPr>
        <w:t>3.4  3.4  The clock table (every case)</w:t>
      </w:r>
    </w:p>
    <w:p>
      <w:pPr>
        <w:spacing w:after="120"/>
        <w:jc w:val="both"/>
      </w:pPr>
      <w:r>
        <w:rPr>
          <w:rFonts w:ascii="Calibri" w:hAnsi="Calibri"/>
          <w:b w:val="0"/>
          <w:i w:val="0"/>
          <w:color w:val="1B2A32"/>
          <w:sz w:val="21"/>
        </w:rPr>
        <w:t>Trigger · period · expiry · owner, for each of: the insurer's 30-day reply window, the one-year Ombudsman window, the two-year consumer limitation, any policy suit-time-bar, and — commercial only — the section 29A arbitral clock. Print it. Give the party a copy.</w:t>
      </w:r>
    </w:p>
    <w:p>
      <w:pPr>
        <w:keepNext/>
        <w:spacing w:before="280" w:after="120"/>
        <w:pBdr>
          <w:bottom w:val="single" w:sz="12" w:space="3" w:color="C6A15B"/>
        </w:pBdr>
      </w:pPr>
      <w:r>
        <w:rPr>
          <w:rFonts w:ascii="Calibri" w:hAnsi="Calibri"/>
          <w:b/>
          <w:i w:val="0"/>
          <w:color w:val="123B4F"/>
          <w:sz w:val="32"/>
        </w:rPr>
        <w:t>4.  Runbook 4 — Running the session</w:t>
      </w:r>
    </w:p>
    <w:p>
      <w:pPr>
        <w:keepNext/>
        <w:spacing w:before="200" w:after="60"/>
      </w:pPr>
      <w:r>
        <w:rPr>
          <w:rFonts w:ascii="Calibri" w:hAnsi="Calibri"/>
          <w:b/>
          <w:i w:val="0"/>
          <w:color w:val="1E7A8C"/>
          <w:sz w:val="25"/>
        </w:rPr>
        <w:t>4.1  4.1  Before</w:t>
      </w:r>
    </w:p>
    <w:p>
      <w:pPr>
        <w:pStyle w:val="ListBullet"/>
        <w:spacing w:after="60"/>
        <w:jc w:val="both"/>
      </w:pPr>
      <w:r>
        <w:rPr>
          <w:rFonts w:ascii="Calibri" w:hAnsi="Calibri"/>
          <w:b/>
          <w:i w:val="0"/>
          <w:color w:val="1B2A32"/>
          <w:sz w:val="21"/>
        </w:rPr>
        <w:t>Authority confirmed in writing</w:t>
      </w:r>
      <w:r>
        <w:rPr>
          <w:rFonts w:ascii="Calibri" w:hAnsi="Calibri"/>
          <w:b w:val="0"/>
          <w:i w:val="0"/>
          <w:color w:val="1B2A32"/>
          <w:sz w:val="21"/>
        </w:rPr>
        <w:t xml:space="preserve"> — who can settle, up to what figure, who approves above it and how fast. Where a co-insurer or reinsurer must agree, flush it out now.</w:t>
      </w:r>
    </w:p>
    <w:p>
      <w:pPr>
        <w:pStyle w:val="ListBullet"/>
        <w:spacing w:after="60"/>
        <w:jc w:val="both"/>
      </w:pPr>
      <w:r>
        <w:rPr>
          <w:rFonts w:ascii="Calibri" w:hAnsi="Calibri"/>
          <w:b/>
          <w:i w:val="0"/>
          <w:color w:val="1B2A32"/>
          <w:sz w:val="21"/>
        </w:rPr>
        <w:t>Both sides have the schedules.</w:t>
      </w:r>
      <w:r>
        <w:rPr>
          <w:rFonts w:ascii="Calibri" w:hAnsi="Calibri"/>
          <w:b w:val="0"/>
          <w:i w:val="0"/>
          <w:color w:val="1B2A32"/>
          <w:sz w:val="21"/>
        </w:rPr>
        <w:t xml:space="preserve"> No surprises; the schedules are the agenda.</w:t>
      </w:r>
    </w:p>
    <w:p>
      <w:pPr>
        <w:pStyle w:val="ListBullet"/>
        <w:spacing w:after="60"/>
        <w:jc w:val="both"/>
      </w:pPr>
      <w:r>
        <w:rPr>
          <w:rFonts w:ascii="Calibri" w:hAnsi="Calibri"/>
          <w:b/>
          <w:i w:val="0"/>
          <w:color w:val="1B2A32"/>
          <w:sz w:val="21"/>
        </w:rPr>
        <w:t>Safeguards in place</w:t>
      </w:r>
      <w:r>
        <w:rPr>
          <w:rFonts w:ascii="Calibri" w:hAnsi="Calibri"/>
          <w:b w:val="0"/>
          <w:i w:val="0"/>
          <w:color w:val="1B2A32"/>
          <w:sz w:val="21"/>
        </w:rPr>
        <w:t xml:space="preserve"> — interpreter, support person, shuttle format, shorter sessions for a party who is ill or bereaved.</w:t>
      </w:r>
    </w:p>
    <w:p>
      <w:pPr>
        <w:keepNext/>
        <w:spacing w:before="200" w:after="60"/>
      </w:pPr>
      <w:r>
        <w:rPr>
          <w:rFonts w:ascii="Calibri" w:hAnsi="Calibri"/>
          <w:b/>
          <w:i w:val="0"/>
          <w:color w:val="1E7A8C"/>
          <w:sz w:val="25"/>
        </w:rPr>
        <w:t>4.2  4.2  The opening — verbatim</w:t>
      </w: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MEDIATOR'S OPENING</w:t>
            </w:r>
          </w:p>
          <w:p>
            <w:r>
              <w:rPr>
                <w:rFonts w:ascii="Calibri" w:hAnsi="Calibri"/>
                <w:b w:val="0"/>
                <w:i w:val="0"/>
                <w:color w:val="1B2A32"/>
                <w:sz w:val="19"/>
              </w:rPr>
              <w:t xml:space="preserve">“Three things before we start. </w:t>
            </w:r>
            <w:r>
              <w:rPr>
                <w:rFonts w:ascii="Calibri" w:hAnsi="Calibri"/>
                <w:b/>
                <w:i w:val="0"/>
                <w:color w:val="1B2A32"/>
                <w:sz w:val="19"/>
              </w:rPr>
              <w:t>One</w:t>
            </w:r>
            <w:r>
              <w:rPr>
                <w:rFonts w:ascii="Calibri" w:hAnsi="Calibri"/>
                <w:b w:val="0"/>
                <w:i w:val="0"/>
                <w:color w:val="1B2A32"/>
                <w:sz w:val="19"/>
              </w:rPr>
              <w:t xml:space="preserve">: nothing said here is admissible anywhere else, and neither side is admitting anything by being here. </w:t>
            </w:r>
            <w:r>
              <w:rPr>
                <w:rFonts w:ascii="Calibri" w:hAnsi="Calibri"/>
                <w:b/>
                <w:i w:val="0"/>
                <w:color w:val="1B2A32"/>
                <w:sz w:val="19"/>
              </w:rPr>
              <w:t>Two</w:t>
            </w:r>
            <w:r>
              <w:rPr>
                <w:rFonts w:ascii="Calibri" w:hAnsi="Calibri"/>
                <w:b w:val="0"/>
                <w:i w:val="0"/>
                <w:color w:val="1B2A32"/>
                <w:sz w:val="19"/>
              </w:rPr>
              <w:t xml:space="preserve">: nothing that happens today affects your right to go to the Insurance Ombudsman, a consumer commission or a court — and the dates for those are on the sheet in front of you. </w:t>
            </w:r>
            <w:r>
              <w:rPr>
                <w:rFonts w:ascii="Calibri" w:hAnsi="Calibri"/>
                <w:b/>
                <w:i w:val="0"/>
                <w:color w:val="1B2A32"/>
                <w:sz w:val="19"/>
              </w:rPr>
              <w:t>Three</w:t>
            </w:r>
            <w:r>
              <w:rPr>
                <w:rFonts w:ascii="Calibri" w:hAnsi="Calibri"/>
                <w:b w:val="0"/>
                <w:i w:val="0"/>
                <w:color w:val="1B2A32"/>
                <w:sz w:val="19"/>
              </w:rPr>
              <w:t>: I am not going to tell you who is right. I don't decide this. What I will do is make sure each side actually hears the other's position, ground by ground, and see whether there's an agreement in here. If there isn't, you've lost a morning and nothing else.”</w:t>
            </w:r>
          </w:p>
        </w:tc>
      </w:tr>
    </w:tbl>
    <w:p>
      <w:pPr>
        <w:spacing w:after="40"/>
      </w:pPr>
    </w:p>
    <w:p>
      <w:pPr>
        <w:keepNext/>
        <w:spacing w:before="200" w:after="60"/>
      </w:pPr>
      <w:r>
        <w:rPr>
          <w:rFonts w:ascii="Calibri" w:hAnsi="Calibri"/>
          <w:b/>
          <w:i w:val="0"/>
          <w:color w:val="1E7A8C"/>
          <w:sz w:val="25"/>
        </w:rPr>
        <w:t>4.3  4.3  The sequence</w:t>
      </w:r>
    </w:p>
    <w:p>
      <w:pPr>
        <w:pStyle w:val="ListNumber"/>
        <w:spacing w:after="60"/>
        <w:jc w:val="both"/>
      </w:pPr>
      <w:r>
        <w:rPr>
          <w:rFonts w:ascii="Calibri" w:hAnsi="Calibri"/>
          <w:b w:val="0"/>
          <w:i w:val="0"/>
          <w:color w:val="1B2A32"/>
          <w:sz w:val="21"/>
        </w:rPr>
        <w:t xml:space="preserve">The insurer states its grounds — </w:t>
      </w:r>
      <w:r>
        <w:rPr>
          <w:rFonts w:ascii="Calibri" w:hAnsi="Calibri"/>
          <w:b/>
          <w:i w:val="0"/>
          <w:color w:val="1B2A32"/>
          <w:sz w:val="21"/>
        </w:rPr>
        <w:t>each one</w:t>
      </w:r>
      <w:r>
        <w:rPr>
          <w:rFonts w:ascii="Calibri" w:hAnsi="Calibri"/>
          <w:b w:val="0"/>
          <w:i w:val="0"/>
          <w:color w:val="1B2A32"/>
          <w:sz w:val="21"/>
        </w:rPr>
        <w:t>, with the clause and the document.</w:t>
      </w:r>
    </w:p>
    <w:p>
      <w:pPr>
        <w:pStyle w:val="ListNumber"/>
        <w:spacing w:after="60"/>
        <w:jc w:val="both"/>
      </w:pPr>
      <w:r>
        <w:rPr>
          <w:rFonts w:ascii="Calibri" w:hAnsi="Calibri"/>
          <w:b w:val="0"/>
          <w:i w:val="0"/>
          <w:color w:val="1B2A32"/>
          <w:sz w:val="21"/>
        </w:rPr>
        <w:t>The policyholder answers, ground by ground, against the same schedule.</w:t>
      </w:r>
    </w:p>
    <w:p>
      <w:pPr>
        <w:pStyle w:val="ListNumber"/>
        <w:spacing w:after="60"/>
        <w:jc w:val="both"/>
      </w:pPr>
      <w:r>
        <w:rPr>
          <w:rFonts w:ascii="Calibri" w:hAnsi="Calibri"/>
          <w:b w:val="0"/>
          <w:i w:val="0"/>
          <w:color w:val="1B2A32"/>
          <w:sz w:val="21"/>
        </w:rPr>
        <w:t xml:space="preserve">Work the </w:t>
      </w:r>
      <w:r>
        <w:rPr>
          <w:rFonts w:ascii="Calibri" w:hAnsi="Calibri"/>
          <w:b/>
          <w:i w:val="0"/>
          <w:color w:val="1B2A32"/>
          <w:sz w:val="21"/>
        </w:rPr>
        <w:t>line items</w:t>
      </w:r>
      <w:r>
        <w:rPr>
          <w:rFonts w:ascii="Calibri" w:hAnsi="Calibri"/>
          <w:b w:val="0"/>
          <w:i w:val="0"/>
          <w:color w:val="1B2A32"/>
          <w:sz w:val="21"/>
        </w:rPr>
        <w:t>, not the total. Insurance settles by narrowing.</w:t>
      </w:r>
    </w:p>
    <w:p>
      <w:pPr>
        <w:pStyle w:val="ListNumber"/>
        <w:spacing w:after="60"/>
        <w:jc w:val="both"/>
      </w:pPr>
      <w:r>
        <w:rPr>
          <w:rFonts w:ascii="Calibri" w:hAnsi="Calibri"/>
          <w:b w:val="0"/>
          <w:i w:val="0"/>
          <w:color w:val="1B2A32"/>
          <w:sz w:val="21"/>
        </w:rPr>
        <w:t xml:space="preserve">Caucus. Establish each side's real range and — more important — the </w:t>
      </w:r>
      <w:r>
        <w:rPr>
          <w:rFonts w:ascii="Calibri" w:hAnsi="Calibri"/>
          <w:b/>
          <w:i w:val="0"/>
          <w:color w:val="1B2A32"/>
          <w:sz w:val="21"/>
        </w:rPr>
        <w:t>non-monetary levers</w:t>
      </w:r>
      <w:r>
        <w:rPr>
          <w:rFonts w:ascii="Calibri" w:hAnsi="Calibri"/>
          <w:b w:val="0"/>
          <w:i w:val="0"/>
          <w:color w:val="1B2A32"/>
          <w:sz w:val="21"/>
        </w:rPr>
        <w:t>.</w:t>
      </w:r>
    </w:p>
    <w:p>
      <w:pPr>
        <w:pStyle w:val="ListNumber"/>
        <w:spacing w:after="60"/>
        <w:jc w:val="both"/>
      </w:pPr>
      <w:r>
        <w:rPr>
          <w:rFonts w:ascii="Calibri" w:hAnsi="Calibri"/>
          <w:b w:val="0"/>
          <w:i w:val="0"/>
          <w:color w:val="1B2A32"/>
          <w:sz w:val="21"/>
        </w:rPr>
        <w:t xml:space="preserve">Build a </w:t>
      </w:r>
      <w:r>
        <w:rPr>
          <w:rFonts w:ascii="Calibri" w:hAnsi="Calibri"/>
          <w:b/>
          <w:i w:val="0"/>
          <w:color w:val="1B2A32"/>
          <w:sz w:val="21"/>
        </w:rPr>
        <w:t>package</w:t>
      </w:r>
      <w:r>
        <w:rPr>
          <w:rFonts w:ascii="Calibri" w:hAnsi="Calibri"/>
          <w:b w:val="0"/>
          <w:i w:val="0"/>
          <w:color w:val="1B2A32"/>
          <w:sz w:val="21"/>
        </w:rPr>
        <w:t>: a figure, plus continuity, plus removal of a flag, plus a date certain.</w:t>
      </w:r>
    </w:p>
    <w:p>
      <w:pPr>
        <w:pStyle w:val="ListNumber"/>
        <w:spacing w:after="60"/>
        <w:jc w:val="both"/>
      </w:pPr>
      <w:r>
        <w:rPr>
          <w:rFonts w:ascii="Calibri" w:hAnsi="Calibri"/>
          <w:b/>
          <w:i w:val="0"/>
          <w:color w:val="1B2A32"/>
          <w:sz w:val="21"/>
        </w:rPr>
        <w:t>Draft and sign before anyone leaves.</w:t>
      </w:r>
      <w:r>
        <w:rPr>
          <w:rFonts w:ascii="Calibri" w:hAnsi="Calibri"/>
          <w:b w:val="0"/>
          <w:i w:val="0"/>
          <w:color w:val="1B2A32"/>
          <w:sz w:val="21"/>
        </w:rPr>
        <w:t xml:space="preserve"> An insurance settlement that goes away for internal drafting frequently does not come back.</w:t>
      </w:r>
    </w:p>
    <w:p>
      <w:pPr>
        <w:keepNext/>
        <w:spacing w:before="200" w:after="60"/>
      </w:pPr>
      <w:r>
        <w:rPr>
          <w:rFonts w:ascii="Calibri" w:hAnsi="Calibri"/>
          <w:b/>
          <w:i w:val="0"/>
          <w:color w:val="1E7A8C"/>
          <w:sz w:val="25"/>
        </w:rPr>
        <w:t>4.4  4.4  The questions that move an insurance mediation</w:t>
      </w:r>
    </w:p>
    <w:p>
      <w:pPr>
        <w:pStyle w:val="ListBullet"/>
        <w:spacing w:after="60"/>
        <w:jc w:val="both"/>
      </w:pPr>
      <w:r>
        <w:rPr>
          <w:rFonts w:ascii="Calibri" w:hAnsi="Calibri"/>
          <w:b w:val="0"/>
          <w:i w:val="0"/>
          <w:color w:val="1B2A32"/>
          <w:sz w:val="21"/>
        </w:rPr>
        <w:t>*Which of the four tests does this ground satisfy, and on what document?*</w:t>
      </w:r>
    </w:p>
    <w:p>
      <w:pPr>
        <w:pStyle w:val="ListBullet"/>
        <w:spacing w:after="60"/>
        <w:jc w:val="both"/>
      </w:pPr>
      <w:r>
        <w:rPr>
          <w:rFonts w:ascii="Calibri" w:hAnsi="Calibri"/>
          <w:b w:val="0"/>
          <w:i w:val="0"/>
          <w:color w:val="1B2A32"/>
          <w:sz w:val="21"/>
        </w:rPr>
        <w:t>*Was the surveyor's report shared with the policyholder before the decision?*</w:t>
      </w:r>
    </w:p>
    <w:p>
      <w:pPr>
        <w:pStyle w:val="ListBullet"/>
        <w:spacing w:after="60"/>
        <w:jc w:val="both"/>
      </w:pPr>
      <w:r>
        <w:rPr>
          <w:rFonts w:ascii="Calibri" w:hAnsi="Calibri"/>
          <w:b w:val="0"/>
          <w:i w:val="0"/>
          <w:color w:val="1B2A32"/>
          <w:sz w:val="21"/>
        </w:rPr>
        <w:t>*Does that head of charge actually vary with the room category?*</w:t>
      </w:r>
    </w:p>
    <w:p>
      <w:pPr>
        <w:pStyle w:val="ListBullet"/>
        <w:spacing w:after="60"/>
        <w:jc w:val="both"/>
      </w:pPr>
      <w:r>
        <w:rPr>
          <w:rFonts w:ascii="Calibri" w:hAnsi="Calibri"/>
          <w:b w:val="0"/>
          <w:i w:val="0"/>
          <w:color w:val="1B2A32"/>
          <w:sz w:val="21"/>
        </w:rPr>
        <w:t>*In what order did you apply the proportionate reduction and the co-pay?*</w:t>
      </w:r>
    </w:p>
    <w:p>
      <w:pPr>
        <w:pStyle w:val="ListBullet"/>
        <w:spacing w:after="60"/>
        <w:jc w:val="both"/>
      </w:pPr>
      <w:r>
        <w:rPr>
          <w:rFonts w:ascii="Calibri" w:hAnsi="Calibri"/>
          <w:b w:val="0"/>
          <w:i w:val="0"/>
          <w:color w:val="1B2A32"/>
          <w:sz w:val="21"/>
        </w:rPr>
        <w:t>*What is the date on which the policy was last revived?* (life)</w:t>
      </w:r>
    </w:p>
    <w:p>
      <w:pPr>
        <w:pStyle w:val="ListBullet"/>
        <w:spacing w:after="60"/>
        <w:jc w:val="both"/>
      </w:pPr>
      <w:r>
        <w:rPr>
          <w:rFonts w:ascii="Calibri" w:hAnsi="Calibri"/>
          <w:b w:val="0"/>
          <w:i w:val="0"/>
          <w:color w:val="1B2A32"/>
          <w:sz w:val="21"/>
        </w:rPr>
        <w:t>*What nexus is there between that breach and this loss?* (motor, commercial)</w:t>
      </w:r>
    </w:p>
    <w:p>
      <w:pPr>
        <w:pStyle w:val="ListBullet"/>
        <w:spacing w:after="60"/>
        <w:jc w:val="both"/>
      </w:pPr>
      <w:r>
        <w:rPr>
          <w:rFonts w:ascii="Calibri" w:hAnsi="Calibri"/>
          <w:b w:val="0"/>
          <w:i w:val="0"/>
          <w:color w:val="1B2A32"/>
          <w:sz w:val="21"/>
        </w:rPr>
        <w:t>*If the sum insured was set by the broker, should the broker be in the room?*</w:t>
      </w:r>
    </w:p>
    <w:p>
      <w:pPr>
        <w:pStyle w:val="ListBullet"/>
        <w:spacing w:after="60"/>
        <w:jc w:val="both"/>
      </w:pPr>
      <w:r>
        <w:rPr>
          <w:rFonts w:ascii="Calibri" w:hAnsi="Calibri"/>
          <w:b w:val="0"/>
          <w:i w:val="0"/>
          <w:color w:val="1B2A32"/>
          <w:sz w:val="21"/>
        </w:rPr>
        <w:t>*Setting aside the money — would reinstating the policy with continuity, and withdrawing the flag, change this?*</w:t>
      </w:r>
    </w:p>
    <w:tbl>
      <w:tblPr>
        <w:tblW w:type="auto" w:w="0"/>
        <w:jc w:val="center"/>
        <w:tblLook w:firstColumn="1" w:firstRow="1" w:lastColumn="0" w:lastRow="0" w:noHBand="0" w:noVBand="1" w:val="04A0"/>
      </w:tblPr>
      <w:tblGrid>
        <w:gridCol w:w="9504"/>
      </w:tblGrid>
      <w:tr>
        <w:tc>
          <w:tcPr>
            <w:tcW w:type="dxa" w:w="9360"/>
            <w:shd w:val="clear" w:fill="F6E0E4"/>
            <w:tcBorders>
              <w:start w:val="single" w:sz="22" w:space="0" w:color="B23A48"/>
            </w:tcBorders>
          </w:tcPr>
          <w:p>
            <w:r>
              <w:rPr>
                <w:rFonts w:ascii="Calibri" w:hAnsi="Calibri"/>
                <w:b/>
                <w:i w:val="0"/>
                <w:color w:val="B23A48"/>
                <w:sz w:val="18"/>
              </w:rPr>
              <w:t>THE LINE THE NEUTRAL DOES NOT CROSS</w:t>
            </w:r>
          </w:p>
          <w:p>
            <w:r>
              <w:rPr>
                <w:rFonts w:ascii="Calibri" w:hAnsi="Calibri"/>
                <w:b w:val="0"/>
                <w:i w:val="0"/>
                <w:color w:val="1B2A32"/>
                <w:sz w:val="19"/>
              </w:rPr>
              <w:t xml:space="preserve">You do not say whether the claim is good. You do not predict what the Ombudsman would award. You do not advise. Your value is the </w:t>
            </w:r>
            <w:r>
              <w:rPr>
                <w:rFonts w:ascii="Calibri" w:hAnsi="Calibri"/>
                <w:b/>
                <w:i w:val="0"/>
                <w:color w:val="1B2A32"/>
                <w:sz w:val="19"/>
              </w:rPr>
              <w:t>structure of the questions</w:t>
            </w:r>
            <w:r>
              <w:rPr>
                <w:rFonts w:ascii="Calibri" w:hAnsi="Calibri"/>
                <w:b w:val="0"/>
                <w:i w:val="0"/>
                <w:color w:val="1B2A32"/>
                <w:sz w:val="19"/>
              </w:rPr>
              <w:t>, not an opinion. If you find yourself about to say “in my view the exclusion doesn't apply”, stop and turn it into a question instead.</w:t>
            </w:r>
          </w:p>
        </w:tc>
      </w:tr>
    </w:tbl>
    <w:p>
      <w:pPr>
        <w:spacing w:after="40"/>
      </w:pPr>
    </w:p>
    <w:p>
      <w:pPr>
        <w:keepNext/>
        <w:spacing w:before="280" w:after="120"/>
        <w:pBdr>
          <w:bottom w:val="single" w:sz="12" w:space="3" w:color="C6A15B"/>
        </w:pBdr>
      </w:pPr>
      <w:r>
        <w:rPr>
          <w:rFonts w:ascii="Calibri" w:hAnsi="Calibri"/>
          <w:b/>
          <w:i w:val="0"/>
          <w:color w:val="123B4F"/>
          <w:sz w:val="32"/>
        </w:rPr>
        <w:t>5.  Runbook 5 — Settlement, payment and closure</w:t>
      </w:r>
    </w:p>
    <w:p>
      <w:pPr>
        <w:keepNext/>
        <w:spacing w:before="200" w:after="60"/>
      </w:pPr>
      <w:r>
        <w:rPr>
          <w:rFonts w:ascii="Calibri" w:hAnsi="Calibri"/>
          <w:b/>
          <w:i w:val="0"/>
          <w:color w:val="1E7A8C"/>
          <w:sz w:val="25"/>
        </w:rPr>
        <w:t>5.1  5.1  What goes in every insurance settlement</w:t>
      </w:r>
    </w:p>
    <w:tbl>
      <w:tblPr>
        <w:tblStyle w:val="TableGrid"/>
        <w:tblW w:type="auto" w:w="0"/>
        <w:jc w:val="center"/>
        <w:tblLook w:firstColumn="1" w:firstRow="1" w:lastColumn="0" w:lastRow="0" w:noHBand="0" w:noVBand="1" w:val="04A0"/>
      </w:tblPr>
      <w:tblGrid>
        <w:gridCol w:w="3168"/>
        <w:gridCol w:w="3168"/>
        <w:gridCol w:w="3168"/>
      </w:tblGrid>
      <w:tr>
        <w:tc>
          <w:tcPr>
            <w:tcW w:type="dxa" w:w="23040"/>
            <w:shd w:val="clear" w:fill="123B4F"/>
          </w:tcPr>
          <w:p>
            <w:r/>
            <w:r>
              <w:rPr>
                <w:rFonts w:ascii="Calibri" w:hAnsi="Calibri"/>
                <w:b/>
                <w:i w:val="0"/>
                <w:color w:val="FFFFFF"/>
                <w:sz w:val="18"/>
              </w:rPr>
              <w:t>Element</w:t>
            </w:r>
          </w:p>
        </w:tc>
        <w:tc>
          <w:tcPr>
            <w:tcW w:type="dxa" w:w="63360"/>
            <w:shd w:val="clear" w:fill="123B4F"/>
          </w:tcPr>
          <w:p>
            <w:r/>
            <w:r>
              <w:rPr>
                <w:rFonts w:ascii="Calibri" w:hAnsi="Calibri"/>
                <w:b/>
                <w:i w:val="0"/>
                <w:color w:val="FFFFFF"/>
                <w:sz w:val="18"/>
              </w:rPr>
              <w:t>Detail</w:t>
            </w:r>
          </w:p>
        </w:tc>
        <w:tc>
          <w:tcPr>
            <w:tcW w:type="dxa" w:w="57600"/>
            <w:shd w:val="clear" w:fill="123B4F"/>
          </w:tcPr>
          <w:p>
            <w:r/>
            <w:r>
              <w:rPr>
                <w:rFonts w:ascii="Calibri" w:hAnsi="Calibri"/>
                <w:b/>
                <w:i w:val="0"/>
                <w:color w:val="FFFFFF"/>
                <w:sz w:val="18"/>
              </w:rPr>
              <w:t>Why it matters</w:t>
            </w:r>
          </w:p>
        </w:tc>
      </w:tr>
      <w:tr>
        <w:tc>
          <w:tcPr>
            <w:tcW w:type="dxa" w:w="23040"/>
          </w:tcPr>
          <w:p>
            <w:r/>
            <w:r>
              <w:rPr>
                <w:rFonts w:ascii="Calibri" w:hAnsi="Calibri"/>
                <w:b w:val="0"/>
                <w:i w:val="0"/>
                <w:color w:val="1B2A32"/>
                <w:sz w:val="18"/>
              </w:rPr>
              <w:t>Money</w:t>
            </w:r>
          </w:p>
        </w:tc>
        <w:tc>
          <w:tcPr>
            <w:tcW w:type="dxa" w:w="63360"/>
          </w:tcPr>
          <w:p>
            <w:r/>
            <w:r>
              <w:rPr>
                <w:rFonts w:ascii="Calibri" w:hAnsi="Calibri"/>
                <w:b w:val="0"/>
                <w:i w:val="0"/>
                <w:color w:val="1B2A32"/>
                <w:sz w:val="18"/>
              </w:rPr>
              <w:t>Amount, interest, TDS treatment, account, date</w:t>
            </w:r>
          </w:p>
        </w:tc>
        <w:tc>
          <w:tcPr>
            <w:tcW w:type="dxa" w:w="57600"/>
          </w:tcPr>
          <w:p>
            <w:r/>
            <w:r>
              <w:rPr>
                <w:rFonts w:ascii="Calibri" w:hAnsi="Calibri"/>
                <w:b w:val="0"/>
                <w:i w:val="0"/>
                <w:color w:val="1B2A32"/>
                <w:sz w:val="18"/>
              </w:rPr>
              <w:t>Obvious — and the least of it</w:t>
            </w:r>
          </w:p>
        </w:tc>
      </w:tr>
      <w:tr>
        <w:tc>
          <w:tcPr>
            <w:tcW w:type="dxa" w:w="23040"/>
            <w:shd w:val="clear" w:fill="F3F7F9"/>
          </w:tcPr>
          <w:p>
            <w:r/>
            <w:r>
              <w:rPr>
                <w:rFonts w:ascii="Calibri" w:hAnsi="Calibri"/>
                <w:b w:val="0"/>
                <w:i w:val="0"/>
                <w:color w:val="1B2A32"/>
                <w:sz w:val="18"/>
              </w:rPr>
              <w:t>Continuity</w:t>
            </w:r>
          </w:p>
        </w:tc>
        <w:tc>
          <w:tcPr>
            <w:tcW w:type="dxa" w:w="63360"/>
            <w:shd w:val="clear" w:fill="F3F7F9"/>
          </w:tcPr>
          <w:p>
            <w:r/>
            <w:r>
              <w:rPr>
                <w:rFonts w:ascii="Calibri" w:hAnsi="Calibri"/>
                <w:b w:val="0"/>
                <w:i w:val="0"/>
                <w:color w:val="1B2A32"/>
                <w:sz w:val="18"/>
              </w:rPr>
              <w:t xml:space="preserve">Policy reinstated from a stated date with </w:t>
            </w:r>
            <w:r>
              <w:rPr>
                <w:rFonts w:ascii="Calibri" w:hAnsi="Calibri"/>
                <w:b/>
                <w:i w:val="0"/>
                <w:color w:val="1B2A32"/>
                <w:sz w:val="18"/>
              </w:rPr>
              <w:t>waiting periods and cumulative bonus preserved</w:t>
            </w:r>
          </w:p>
        </w:tc>
        <w:tc>
          <w:tcPr>
            <w:tcW w:type="dxa" w:w="57600"/>
            <w:shd w:val="clear" w:fill="F3F7F9"/>
          </w:tcPr>
          <w:p>
            <w:r/>
            <w:r>
              <w:rPr>
                <w:rFonts w:ascii="Calibri" w:hAnsi="Calibri"/>
                <w:b w:val="0"/>
                <w:i w:val="0"/>
                <w:color w:val="1B2A32"/>
                <w:sz w:val="18"/>
              </w:rPr>
              <w:t>Frequently worth more than the cash. Always put it on the table</w:t>
            </w:r>
          </w:p>
        </w:tc>
      </w:tr>
      <w:tr>
        <w:tc>
          <w:tcPr>
            <w:tcW w:type="dxa" w:w="23040"/>
          </w:tcPr>
          <w:p>
            <w:r/>
            <w:r>
              <w:rPr>
                <w:rFonts w:ascii="Calibri" w:hAnsi="Calibri"/>
                <w:b w:val="0"/>
                <w:i w:val="0"/>
                <w:color w:val="1B2A32"/>
                <w:sz w:val="18"/>
              </w:rPr>
              <w:t>Record</w:t>
            </w:r>
          </w:p>
        </w:tc>
        <w:tc>
          <w:tcPr>
            <w:tcW w:type="dxa" w:w="63360"/>
          </w:tcPr>
          <w:p>
            <w:r/>
            <w:r>
              <w:rPr>
                <w:rFonts w:ascii="Calibri" w:hAnsi="Calibri"/>
                <w:b w:val="0"/>
                <w:i w:val="0"/>
                <w:color w:val="1B2A32"/>
                <w:sz w:val="18"/>
              </w:rPr>
              <w:t xml:space="preserve">Adverse remark, fraud flag or repudiation entry withdrawn in writing, in the insurer's records </w:t>
            </w:r>
            <w:r>
              <w:rPr>
                <w:rFonts w:ascii="Calibri" w:hAnsi="Calibri"/>
                <w:b/>
                <w:i w:val="0"/>
                <w:color w:val="1B2A32"/>
                <w:sz w:val="18"/>
              </w:rPr>
              <w:t>and any industry database</w:t>
            </w:r>
          </w:p>
        </w:tc>
        <w:tc>
          <w:tcPr>
            <w:tcW w:type="dxa" w:w="57600"/>
          </w:tcPr>
          <w:p>
            <w:r/>
            <w:r>
              <w:rPr>
                <w:rFonts w:ascii="Calibri" w:hAnsi="Calibri"/>
                <w:b w:val="0"/>
                <w:i w:val="0"/>
                <w:color w:val="1B2A32"/>
                <w:sz w:val="18"/>
              </w:rPr>
              <w:t>A flag follows a person to every future insurer</w:t>
            </w:r>
          </w:p>
        </w:tc>
      </w:tr>
      <w:tr>
        <w:tc>
          <w:tcPr>
            <w:tcW w:type="dxa" w:w="23040"/>
            <w:shd w:val="clear" w:fill="F3F7F9"/>
          </w:tcPr>
          <w:p>
            <w:r/>
            <w:r>
              <w:rPr>
                <w:rFonts w:ascii="Calibri" w:hAnsi="Calibri"/>
                <w:b w:val="0"/>
                <w:i w:val="0"/>
                <w:color w:val="1B2A32"/>
                <w:sz w:val="18"/>
              </w:rPr>
              <w:t>Pending complaint</w:t>
            </w:r>
          </w:p>
        </w:tc>
        <w:tc>
          <w:tcPr>
            <w:tcW w:type="dxa" w:w="63360"/>
            <w:shd w:val="clear" w:fill="F3F7F9"/>
          </w:tcPr>
          <w:p>
            <w:r/>
            <w:r>
              <w:rPr>
                <w:rFonts w:ascii="Calibri" w:hAnsi="Calibri"/>
                <w:b/>
                <w:i w:val="0"/>
                <w:color w:val="1B2A32"/>
                <w:sz w:val="18"/>
              </w:rPr>
              <w:t>Disposed of in terms</w:t>
            </w:r>
            <w:r>
              <w:rPr>
                <w:rFonts w:ascii="Calibri" w:hAnsi="Calibri"/>
                <w:b w:val="0"/>
                <w:i w:val="0"/>
                <w:color w:val="1B2A32"/>
                <w:sz w:val="18"/>
              </w:rPr>
              <w:t xml:space="preserve"> of the settlement, not merely withdrawn</w:t>
            </w:r>
          </w:p>
        </w:tc>
        <w:tc>
          <w:tcPr>
            <w:tcW w:type="dxa" w:w="57600"/>
            <w:shd w:val="clear" w:fill="F3F7F9"/>
          </w:tcPr>
          <w:p>
            <w:r/>
            <w:r>
              <w:rPr>
                <w:rFonts w:ascii="Calibri" w:hAnsi="Calibri"/>
                <w:b w:val="0"/>
                <w:i w:val="0"/>
                <w:color w:val="1B2A32"/>
                <w:sz w:val="18"/>
              </w:rPr>
              <w:t>Converts the settlement into an order of that forum too, at no extra cost</w:t>
            </w:r>
          </w:p>
        </w:tc>
      </w:tr>
      <w:tr>
        <w:tc>
          <w:tcPr>
            <w:tcW w:type="dxa" w:w="23040"/>
          </w:tcPr>
          <w:p>
            <w:r/>
            <w:r>
              <w:rPr>
                <w:rFonts w:ascii="Calibri" w:hAnsi="Calibri"/>
                <w:b w:val="0"/>
                <w:i w:val="0"/>
                <w:color w:val="1B2A32"/>
                <w:sz w:val="18"/>
              </w:rPr>
              <w:t>Discharge</w:t>
            </w:r>
          </w:p>
        </w:tc>
        <w:tc>
          <w:tcPr>
            <w:tcW w:type="dxa" w:w="63360"/>
          </w:tcPr>
          <w:p>
            <w:r/>
            <w:r>
              <w:rPr>
                <w:rFonts w:ascii="Calibri" w:hAnsi="Calibri"/>
                <w:b w:val="0"/>
                <w:i w:val="0"/>
                <w:color w:val="1B2A32"/>
                <w:sz w:val="18"/>
              </w:rPr>
              <w:t xml:space="preserve">Full and final for </w:t>
            </w:r>
            <w:r>
              <w:rPr>
                <w:rFonts w:ascii="Calibri" w:hAnsi="Calibri"/>
                <w:b/>
                <w:i w:val="0"/>
                <w:color w:val="1B2A32"/>
                <w:sz w:val="18"/>
              </w:rPr>
              <w:t>this</w:t>
            </w:r>
            <w:r>
              <w:rPr>
                <w:rFonts w:ascii="Calibri" w:hAnsi="Calibri"/>
                <w:b w:val="0"/>
                <w:i w:val="0"/>
                <w:color w:val="1B2A32"/>
                <w:sz w:val="18"/>
              </w:rPr>
              <w:t xml:space="preserve"> claim under </w:t>
            </w:r>
            <w:r>
              <w:rPr>
                <w:rFonts w:ascii="Calibri" w:hAnsi="Calibri"/>
                <w:b/>
                <w:i w:val="0"/>
                <w:color w:val="1B2A32"/>
                <w:sz w:val="18"/>
              </w:rPr>
              <w:t>this</w:t>
            </w:r>
            <w:r>
              <w:rPr>
                <w:rFonts w:ascii="Calibri" w:hAnsi="Calibri"/>
                <w:b w:val="0"/>
                <w:i w:val="0"/>
                <w:color w:val="1B2A32"/>
                <w:sz w:val="18"/>
              </w:rPr>
              <w:t xml:space="preserve"> policy only</w:t>
            </w:r>
          </w:p>
        </w:tc>
        <w:tc>
          <w:tcPr>
            <w:tcW w:type="dxa" w:w="57600"/>
          </w:tcPr>
          <w:p>
            <w:r/>
            <w:r>
              <w:rPr>
                <w:rFonts w:ascii="Calibri" w:hAnsi="Calibri"/>
                <w:b w:val="0"/>
                <w:i w:val="0"/>
                <w:color w:val="1B2A32"/>
                <w:sz w:val="18"/>
              </w:rPr>
              <w:t>Never for future events; never a waiver of a non-waivable right</w:t>
            </w:r>
          </w:p>
        </w:tc>
      </w:tr>
      <w:tr>
        <w:tc>
          <w:tcPr>
            <w:tcW w:type="dxa" w:w="23040"/>
            <w:shd w:val="clear" w:fill="F3F7F9"/>
          </w:tcPr>
          <w:p>
            <w:r/>
            <w:r>
              <w:rPr>
                <w:rFonts w:ascii="Calibri" w:hAnsi="Calibri"/>
                <w:b w:val="0"/>
                <w:i w:val="0"/>
                <w:color w:val="1B2A32"/>
                <w:sz w:val="18"/>
              </w:rPr>
              <w:t>Default</w:t>
            </w:r>
          </w:p>
        </w:tc>
        <w:tc>
          <w:tcPr>
            <w:tcW w:type="dxa" w:w="63360"/>
            <w:shd w:val="clear" w:fill="F3F7F9"/>
          </w:tcPr>
          <w:p>
            <w:r/>
            <w:r>
              <w:rPr>
                <w:rFonts w:ascii="Calibri" w:hAnsi="Calibri"/>
                <w:b w:val="0"/>
                <w:i w:val="0"/>
                <w:color w:val="1B2A32"/>
                <w:sz w:val="18"/>
              </w:rPr>
              <w:t>Acceleration with interest; enforceable as a decree under s.27</w:t>
            </w:r>
          </w:p>
        </w:tc>
        <w:tc>
          <w:tcPr>
            <w:tcW w:type="dxa" w:w="57600"/>
            <w:shd w:val="clear" w:fill="F3F7F9"/>
          </w:tcPr>
          <w:p>
            <w:r/>
            <w:r>
              <w:rPr>
                <w:rFonts w:ascii="Calibri" w:hAnsi="Calibri"/>
                <w:b w:val="0"/>
                <w:i w:val="0"/>
                <w:color w:val="1B2A32"/>
                <w:sz w:val="18"/>
              </w:rPr>
              <w:t>There is no second round</w:t>
            </w:r>
          </w:p>
        </w:tc>
      </w:tr>
    </w:tbl>
    <w:p>
      <w:pPr>
        <w:spacing w:after="40"/>
      </w:pPr>
    </w:p>
    <w:p>
      <w:pPr>
        <w:keepNext/>
        <w:spacing w:before="200" w:after="60"/>
      </w:pPr>
      <w:r>
        <w:rPr>
          <w:rFonts w:ascii="Calibri" w:hAnsi="Calibri"/>
          <w:b/>
          <w:i w:val="0"/>
          <w:color w:val="1E7A8C"/>
          <w:sz w:val="25"/>
        </w:rPr>
        <w:t>5.2  5.2  The discharge-voucher trap</w:t>
      </w:r>
    </w:p>
    <w:tbl>
      <w:tblPr>
        <w:tblW w:type="auto" w:w="0"/>
        <w:jc w:val="center"/>
        <w:tblLook w:firstColumn="1" w:firstRow="1" w:lastColumn="0" w:lastRow="0" w:noHBand="0" w:noVBand="1" w:val="04A0"/>
      </w:tblPr>
      <w:tblGrid>
        <w:gridCol w:w="9504"/>
      </w:tblGrid>
      <w:tr>
        <w:tc>
          <w:tcPr>
            <w:tcW w:type="dxa" w:w="9360"/>
            <w:shd w:val="clear" w:fill="F5ECD6"/>
            <w:tcBorders>
              <w:start w:val="single" w:sz="22" w:space="0" w:color="C6A15B"/>
            </w:tcBorders>
          </w:tcPr>
          <w:p>
            <w:r>
              <w:rPr>
                <w:rFonts w:ascii="Calibri" w:hAnsi="Calibri"/>
                <w:b/>
                <w:i w:val="0"/>
                <w:color w:val="123B4F"/>
                <w:sz w:val="18"/>
              </w:rPr>
              <w:t>BRIEF THE POLICYHOLDER ON THIS, EVERY TIME</w:t>
            </w:r>
          </w:p>
          <w:p>
            <w:r>
              <w:rPr>
                <w:rFonts w:ascii="Calibri" w:hAnsi="Calibri"/>
                <w:b w:val="0"/>
                <w:i w:val="0"/>
                <w:color w:val="1B2A32"/>
                <w:sz w:val="19"/>
              </w:rPr>
              <w:t xml:space="preserve">If an insurer asks you to sign a full-and-final discharge voucher for an amount you dispute, </w:t>
            </w:r>
            <w:r>
              <w:rPr>
                <w:rFonts w:ascii="Calibri" w:hAnsi="Calibri"/>
                <w:b/>
                <w:i w:val="0"/>
                <w:color w:val="1B2A32"/>
                <w:sz w:val="19"/>
              </w:rPr>
              <w:t>do not simply sign it</w:t>
            </w:r>
            <w:r>
              <w:rPr>
                <w:rFonts w:ascii="Calibri" w:hAnsi="Calibri"/>
                <w:b w:val="0"/>
                <w:i w:val="0"/>
                <w:color w:val="1B2A32"/>
                <w:sz w:val="19"/>
              </w:rPr>
              <w:t>. Write above your signature: *“Received Rs.____ on account and under protest. I reserve my right to claim the balance of Rs.____.”* Form F-I17 has a tick-box for exactly this so it cannot be overlooked. A voucher signed under protest does not, by itself, bar a claim for the balance — and the position is stronger still where the signature was obtained under financial pressure.</w:t>
            </w:r>
          </w:p>
        </w:tc>
      </w:tr>
    </w:tbl>
    <w:p>
      <w:pPr>
        <w:spacing w:after="40"/>
      </w:pPr>
    </w:p>
    <w:p>
      <w:pPr>
        <w:keepNext/>
        <w:spacing w:before="200" w:after="60"/>
      </w:pPr>
      <w:r>
        <w:rPr>
          <w:rFonts w:ascii="Calibri" w:hAnsi="Calibri"/>
          <w:b/>
          <w:i w:val="0"/>
          <w:color w:val="1E7A8C"/>
          <w:sz w:val="25"/>
        </w:rPr>
        <w:t>5.3  5.3  Closure</w:t>
      </w:r>
    </w:p>
    <w:p>
      <w:pPr>
        <w:pStyle w:val="ListNumber"/>
        <w:spacing w:after="60"/>
        <w:jc w:val="both"/>
      </w:pPr>
      <w:r>
        <w:rPr>
          <w:rFonts w:ascii="Calibri" w:hAnsi="Calibri"/>
          <w:b w:val="0"/>
          <w:i w:val="0"/>
          <w:color w:val="1B2A32"/>
          <w:sz w:val="21"/>
        </w:rPr>
        <w:t xml:space="preserve">Verify </w:t>
      </w:r>
      <w:r>
        <w:rPr>
          <w:rFonts w:ascii="Calibri" w:hAnsi="Calibri"/>
          <w:b/>
          <w:i w:val="0"/>
          <w:color w:val="1B2A32"/>
          <w:sz w:val="21"/>
        </w:rPr>
        <w:t>performance</w:t>
      </w:r>
      <w:r>
        <w:rPr>
          <w:rFonts w:ascii="Calibri" w:hAnsi="Calibri"/>
          <w:b w:val="0"/>
          <w:i w:val="0"/>
          <w:color w:val="1B2A32"/>
          <w:sz w:val="21"/>
        </w:rPr>
        <w:t>, not just signature — payment received, policy reinstated, remark withdrawn, complaint disposed.</w:t>
      </w:r>
    </w:p>
    <w:p>
      <w:pPr>
        <w:pStyle w:val="ListNumber"/>
        <w:spacing w:after="60"/>
        <w:jc w:val="both"/>
      </w:pPr>
      <w:r>
        <w:rPr>
          <w:rFonts w:ascii="Calibri" w:hAnsi="Calibri"/>
          <w:b w:val="0"/>
          <w:i w:val="0"/>
          <w:color w:val="1B2A32"/>
          <w:sz w:val="21"/>
        </w:rPr>
        <w:t>Register the settlement under the Mediation Act, 2023.</w:t>
      </w:r>
    </w:p>
    <w:p>
      <w:pPr>
        <w:pStyle w:val="ListNumber"/>
        <w:spacing w:after="60"/>
        <w:jc w:val="both"/>
      </w:pPr>
      <w:r>
        <w:rPr>
          <w:rFonts w:ascii="Calibri" w:hAnsi="Calibri"/>
          <w:b w:val="0"/>
          <w:i w:val="0"/>
          <w:color w:val="1B2A32"/>
          <w:sz w:val="21"/>
        </w:rPr>
        <w:t>Reconcile and close any escrow.</w:t>
      </w:r>
    </w:p>
    <w:p>
      <w:pPr>
        <w:pStyle w:val="ListNumber"/>
        <w:spacing w:after="60"/>
        <w:jc w:val="both"/>
      </w:pPr>
      <w:r>
        <w:rPr>
          <w:rFonts w:ascii="Calibri" w:hAnsi="Calibri"/>
          <w:b w:val="0"/>
          <w:i w:val="0"/>
          <w:color w:val="1B2A32"/>
          <w:sz w:val="21"/>
        </w:rPr>
        <w:t xml:space="preserve">Set the </w:t>
      </w:r>
      <w:r>
        <w:rPr>
          <w:rFonts w:ascii="Calibri" w:hAnsi="Calibri"/>
          <w:b/>
          <w:i w:val="0"/>
          <w:color w:val="1B2A32"/>
          <w:sz w:val="21"/>
        </w:rPr>
        <w:t>retention class</w:t>
      </w:r>
      <w:r>
        <w:rPr>
          <w:rFonts w:ascii="Calibri" w:hAnsi="Calibri"/>
          <w:b w:val="0"/>
          <w:i w:val="0"/>
          <w:color w:val="1B2A32"/>
          <w:sz w:val="21"/>
        </w:rPr>
        <w:t>, and confirm erasure of medical records where the class requires it (F-I20 section D).</w:t>
      </w:r>
    </w:p>
    <w:p>
      <w:pPr>
        <w:pStyle w:val="ListNumber"/>
        <w:spacing w:after="60"/>
        <w:jc w:val="both"/>
      </w:pPr>
      <w:r>
        <w:rPr>
          <w:rFonts w:ascii="Calibri" w:hAnsi="Calibri"/>
          <w:b w:val="0"/>
          <w:i w:val="0"/>
          <w:color w:val="1B2A32"/>
          <w:sz w:val="21"/>
        </w:rPr>
        <w:t>Capture feedback — including the question that matters most: *did you feel pressured to settle?*</w:t>
      </w:r>
    </w:p>
    <w:p>
      <w:pPr>
        <w:keepNext/>
        <w:spacing w:before="280" w:after="120"/>
        <w:pBdr>
          <w:bottom w:val="single" w:sz="12" w:space="3" w:color="C6A15B"/>
        </w:pBdr>
      </w:pPr>
      <w:r>
        <w:rPr>
          <w:rFonts w:ascii="Calibri" w:hAnsi="Calibri"/>
          <w:b/>
          <w:i w:val="0"/>
          <w:color w:val="123B4F"/>
          <w:sz w:val="32"/>
        </w:rPr>
        <w:t>6.  Runbook 6 — When it does not settle</w:t>
      </w:r>
    </w:p>
    <w:p>
      <w:pPr>
        <w:spacing w:after="120"/>
        <w:jc w:val="both"/>
      </w:pPr>
      <w:r>
        <w:rPr>
          <w:rFonts w:ascii="Calibri" w:hAnsi="Calibri"/>
          <w:b w:val="0"/>
          <w:i w:val="0"/>
          <w:color w:val="1B2A32"/>
          <w:sz w:val="21"/>
        </w:rPr>
        <w:t>An unsettled insurance matter is not a failure; an unsignposted one is.</w:t>
      </w:r>
    </w:p>
    <w:p>
      <w:pPr>
        <w:pStyle w:val="ListNumber"/>
        <w:spacing w:after="60"/>
        <w:jc w:val="both"/>
      </w:pPr>
      <w:r>
        <w:rPr>
          <w:rFonts w:ascii="Calibri" w:hAnsi="Calibri"/>
          <w:b w:val="0"/>
          <w:i w:val="0"/>
          <w:color w:val="1B2A32"/>
          <w:sz w:val="21"/>
        </w:rPr>
        <w:t xml:space="preserve">Issue </w:t>
      </w:r>
      <w:r>
        <w:rPr>
          <w:rFonts w:ascii="Calibri" w:hAnsi="Calibri"/>
          <w:b/>
          <w:i w:val="0"/>
          <w:color w:val="1B2A32"/>
          <w:sz w:val="21"/>
        </w:rPr>
        <w:t>Form F-I19</w:t>
      </w:r>
      <w:r>
        <w:rPr>
          <w:rFonts w:ascii="Calibri" w:hAnsi="Calibri"/>
          <w:b w:val="0"/>
          <w:i w:val="0"/>
          <w:color w:val="1B2A32"/>
          <w:sz w:val="21"/>
        </w:rPr>
        <w:t>. Record only the fact and dates of the process — never the content.</w:t>
      </w:r>
    </w:p>
    <w:p>
      <w:pPr>
        <w:pStyle w:val="ListNumber"/>
        <w:spacing w:after="60"/>
        <w:jc w:val="both"/>
      </w:pPr>
      <w:r>
        <w:rPr>
          <w:rFonts w:ascii="Calibri" w:hAnsi="Calibri"/>
          <w:b w:val="0"/>
          <w:i w:val="0"/>
          <w:color w:val="1B2A32"/>
          <w:sz w:val="21"/>
        </w:rPr>
        <w:t xml:space="preserve">Complete the </w:t>
      </w:r>
      <w:r>
        <w:rPr>
          <w:rFonts w:ascii="Calibri" w:hAnsi="Calibri"/>
          <w:b/>
          <w:i w:val="0"/>
          <w:color w:val="1B2A32"/>
          <w:sz w:val="21"/>
        </w:rPr>
        <w:t>signposting table</w:t>
      </w:r>
      <w:r>
        <w:rPr>
          <w:rFonts w:ascii="Calibri" w:hAnsi="Calibri"/>
          <w:b w:val="0"/>
          <w:i w:val="0"/>
          <w:color w:val="1B2A32"/>
          <w:sz w:val="21"/>
        </w:rPr>
        <w:t xml:space="preserve">: for each forum, what it can do, what it costs, the time limit that applies to this party, and the </w:t>
      </w:r>
      <w:r>
        <w:rPr>
          <w:rFonts w:ascii="Calibri" w:hAnsi="Calibri"/>
          <w:b/>
          <w:i w:val="0"/>
          <w:color w:val="1B2A32"/>
          <w:sz w:val="21"/>
        </w:rPr>
        <w:t>last date to act</w:t>
      </w:r>
      <w:r>
        <w:rPr>
          <w:rFonts w:ascii="Calibri" w:hAnsi="Calibri"/>
          <w:b w:val="0"/>
          <w:i w:val="0"/>
          <w:color w:val="1B2A32"/>
          <w:sz w:val="21"/>
        </w:rPr>
        <w:t>.</w:t>
      </w:r>
    </w:p>
    <w:p>
      <w:pPr>
        <w:pStyle w:val="ListNumber"/>
        <w:spacing w:after="60"/>
        <w:jc w:val="both"/>
      </w:pPr>
      <w:r>
        <w:rPr>
          <w:rFonts w:ascii="Calibri" w:hAnsi="Calibri"/>
          <w:b w:val="0"/>
          <w:i w:val="0"/>
          <w:color w:val="1B2A32"/>
          <w:sz w:val="21"/>
        </w:rPr>
        <w:t xml:space="preserve">Where the Ombudsman window is within 60 days, </w:t>
      </w:r>
      <w:r>
        <w:rPr>
          <w:rFonts w:ascii="Calibri" w:hAnsi="Calibri"/>
          <w:b/>
          <w:i w:val="0"/>
          <w:color w:val="1B2A32"/>
          <w:sz w:val="21"/>
        </w:rPr>
        <w:t>prompt the party to file now</w:t>
      </w:r>
      <w:r>
        <w:rPr>
          <w:rFonts w:ascii="Calibri" w:hAnsi="Calibri"/>
          <w:b w:val="0"/>
          <w:i w:val="0"/>
          <w:color w:val="1B2A32"/>
          <w:sz w:val="21"/>
        </w:rPr>
        <w:t>, help them with Form F-I07, and record that you did.</w:t>
      </w:r>
    </w:p>
    <w:p>
      <w:pPr>
        <w:pStyle w:val="ListNumber"/>
        <w:spacing w:after="60"/>
        <w:jc w:val="both"/>
      </w:pPr>
      <w:r>
        <w:rPr>
          <w:rFonts w:ascii="Calibri" w:hAnsi="Calibri"/>
          <w:b w:val="0"/>
          <w:i w:val="0"/>
          <w:color w:val="1B2A32"/>
          <w:sz w:val="21"/>
        </w:rPr>
        <w:t>Have the party acknowledge receipt of the report and the table.</w:t>
      </w:r>
    </w:p>
    <w:p>
      <w:pPr>
        <w:pStyle w:val="ListNumber"/>
        <w:spacing w:after="60"/>
        <w:jc w:val="both"/>
      </w:pPr>
      <w:r>
        <w:rPr>
          <w:rFonts w:ascii="Calibri" w:hAnsi="Calibri"/>
          <w:b w:val="0"/>
          <w:i w:val="0"/>
          <w:color w:val="1B2A32"/>
          <w:sz w:val="21"/>
        </w:rPr>
        <w:t>Close the file with the compliance grid completed.</w:t>
      </w:r>
    </w:p>
    <w:p>
      <w:r>
        <w:br w:type="page"/>
      </w:r>
    </w:p>
    <w:p>
      <w:pPr>
        <w:keepNext/>
        <w:spacing w:before="280" w:after="120"/>
        <w:pBdr>
          <w:bottom w:val="single" w:sz="12" w:space="3" w:color="C6A15B"/>
        </w:pBdr>
      </w:pPr>
      <w:r>
        <w:rPr>
          <w:rFonts w:ascii="Calibri" w:hAnsi="Calibri"/>
          <w:b/>
          <w:i w:val="0"/>
          <w:color w:val="123B4F"/>
          <w:sz w:val="32"/>
        </w:rPr>
        <w:t>7.  Scripts</w:t>
      </w:r>
    </w:p>
    <w:p>
      <w:pPr>
        <w:keepNext/>
        <w:spacing w:before="200" w:after="60"/>
      </w:pPr>
      <w:r>
        <w:rPr>
          <w:rFonts w:ascii="Calibri" w:hAnsi="Calibri"/>
          <w:b/>
          <w:i w:val="0"/>
          <w:color w:val="1E7A8C"/>
          <w:sz w:val="25"/>
        </w:rPr>
        <w:t>7.1  S1  The standing signposting script (first contact, verbatim)</w:t>
      </w:r>
    </w:p>
    <w:tbl>
      <w:tblPr>
        <w:tblW w:type="auto" w:w="0"/>
        <w:jc w:val="center"/>
        <w:tblLook w:firstColumn="1" w:firstRow="1" w:lastColumn="0" w:lastRow="0" w:noHBand="0" w:noVBand="1" w:val="04A0"/>
      </w:tblPr>
      <w:tblGrid>
        <w:gridCol w:w="9504"/>
      </w:tblGrid>
      <w:tr>
        <w:tc>
          <w:tcPr>
            <w:tcW w:type="dxa" w:w="9360"/>
            <w:shd w:val="clear" w:fill="DCEAEF"/>
            <w:tcBorders>
              <w:start w:val="single" w:sz="22" w:space="0" w:color="1E7A8C"/>
            </w:tcBorders>
          </w:tcPr>
          <w:p>
            <w:r>
              <w:rPr>
                <w:rFonts w:ascii="Calibri" w:hAnsi="Calibri"/>
                <w:b/>
                <w:i w:val="0"/>
                <w:color w:val="123B4F"/>
                <w:sz w:val="18"/>
              </w:rPr>
              <w:t>DELIVER THIS BEFORE ANYTHING ELSE</w:t>
            </w:r>
          </w:p>
          <w:p>
            <w:r>
              <w:rPr>
                <w:rFonts w:ascii="Calibri" w:hAnsi="Calibri"/>
                <w:b w:val="0"/>
                <w:i w:val="0"/>
                <w:color w:val="1B2A32"/>
                <w:sz w:val="19"/>
              </w:rPr>
              <w:t xml:space="preserve">“Before we go any further, three things you should know. </w:t>
            </w:r>
            <w:r>
              <w:rPr>
                <w:rFonts w:ascii="Calibri" w:hAnsi="Calibri"/>
                <w:b/>
                <w:i w:val="0"/>
                <w:color w:val="1B2A32"/>
                <w:sz w:val="19"/>
              </w:rPr>
              <w:t>First</w:t>
            </w:r>
            <w:r>
              <w:rPr>
                <w:rFonts w:ascii="Calibri" w:hAnsi="Calibri"/>
                <w:b w:val="0"/>
                <w:i w:val="0"/>
                <w:color w:val="1B2A32"/>
                <w:sz w:val="19"/>
              </w:rPr>
              <w:t xml:space="preserve">, there is a free government forum for insurance complaints — the Insurance Ombudsman. There are 17 offices, you don't need a lawyer, it costs nothing, and if it makes an award the insurer has to comply up to ₹30 lakh, while you remain free to go elsewhere if you're not satisfied. </w:t>
            </w:r>
            <w:r>
              <w:rPr>
                <w:rFonts w:ascii="Calibri" w:hAnsi="Calibri"/>
                <w:b/>
                <w:i w:val="0"/>
                <w:color w:val="1B2A32"/>
                <w:sz w:val="19"/>
              </w:rPr>
              <w:t>Second</w:t>
            </w:r>
            <w:r>
              <w:rPr>
                <w:rFonts w:ascii="Calibri" w:hAnsi="Calibri"/>
                <w:b w:val="0"/>
                <w:i w:val="0"/>
                <w:color w:val="1B2A32"/>
                <w:sz w:val="19"/>
              </w:rPr>
              <w:t xml:space="preserve">, to use it you must first complain to your insurer in writing and give them 30 days, and you must go to the Ombudsman within one year — I will give you that date in writing today. </w:t>
            </w:r>
            <w:r>
              <w:rPr>
                <w:rFonts w:ascii="Calibri" w:hAnsi="Calibri"/>
                <w:b/>
                <w:i w:val="0"/>
                <w:color w:val="1B2A32"/>
                <w:sz w:val="19"/>
              </w:rPr>
              <w:t>Third</w:t>
            </w:r>
            <w:r>
              <w:rPr>
                <w:rFonts w:ascii="Calibri" w:hAnsi="Calibri"/>
                <w:b w:val="0"/>
                <w:i w:val="0"/>
                <w:color w:val="1B2A32"/>
                <w:sz w:val="19"/>
              </w:rPr>
              <w:t>, what we do here is different: we try to get the two sides to agree, quickly, and we can agree things an award can't — reinstating your policy, removing a black mark, changing a product. Using us does not stop you using the Ombudsman. But it also doesn't pause your one-year clock, so we'll keep an eye on that date together.”</w:t>
            </w:r>
          </w:p>
        </w:tc>
      </w:tr>
    </w:tbl>
    <w:p>
      <w:pPr>
        <w:spacing w:after="40"/>
      </w:pPr>
    </w:p>
    <w:p>
      <w:pPr>
        <w:keepNext/>
        <w:spacing w:before="200" w:after="60"/>
      </w:pPr>
      <w:r>
        <w:rPr>
          <w:rFonts w:ascii="Calibri" w:hAnsi="Calibri"/>
          <w:b/>
          <w:i w:val="0"/>
          <w:color w:val="1E7A8C"/>
          <w:sz w:val="25"/>
        </w:rPr>
        <w:t>7.2  S2  When the party asks “will I win?”</w:t>
      </w:r>
    </w:p>
    <w:p>
      <w:pPr>
        <w:spacing w:after="120"/>
        <w:jc w:val="both"/>
      </w:pPr>
      <w:r>
        <w:rPr>
          <w:rFonts w:ascii="Calibri" w:hAnsi="Calibri"/>
          <w:b w:val="0"/>
          <w:i w:val="0"/>
          <w:color w:val="1B2A32"/>
          <w:sz w:val="21"/>
        </w:rPr>
        <w:t>*“I can't tell you that, and I'd be doing you a disservice if I guessed. What I can tell you is what usually decides cases like yours — and then we'll go and get the documents that answer those questions.”*</w:t>
      </w:r>
    </w:p>
    <w:p>
      <w:pPr>
        <w:keepNext/>
        <w:spacing w:before="200" w:after="60"/>
      </w:pPr>
      <w:r>
        <w:rPr>
          <w:rFonts w:ascii="Calibri" w:hAnsi="Calibri"/>
          <w:b/>
          <w:i w:val="0"/>
          <w:color w:val="1E7A8C"/>
          <w:sz w:val="25"/>
        </w:rPr>
        <w:t>7.3  S3  When the party asks “how much will I get?”</w:t>
      </w:r>
    </w:p>
    <w:p>
      <w:pPr>
        <w:spacing w:after="120"/>
        <w:jc w:val="both"/>
      </w:pPr>
      <w:r>
        <w:rPr>
          <w:rFonts w:ascii="Calibri" w:hAnsi="Calibri"/>
          <w:b w:val="0"/>
          <w:i w:val="0"/>
          <w:color w:val="1B2A32"/>
          <w:sz w:val="21"/>
        </w:rPr>
        <w:t>*“I don't know, and anyone who tells you a number at this stage is guessing. What I can do is show you every deduction they've made, line by line, and which of them look hard to justify. That's usually a more useful conversation.”*</w:t>
      </w:r>
    </w:p>
    <w:p>
      <w:pPr>
        <w:keepNext/>
        <w:spacing w:before="200" w:after="60"/>
      </w:pPr>
      <w:r>
        <w:rPr>
          <w:rFonts w:ascii="Calibri" w:hAnsi="Calibri"/>
          <w:b/>
          <w:i w:val="0"/>
          <w:color w:val="1E7A8C"/>
          <w:sz w:val="25"/>
        </w:rPr>
        <w:t>7.4  S4  When a retail policyholder's policy has an arbitration clause</w:t>
      </w:r>
    </w:p>
    <w:p>
      <w:pPr>
        <w:spacing w:after="120"/>
        <w:jc w:val="both"/>
      </w:pPr>
      <w:r>
        <w:rPr>
          <w:rFonts w:ascii="Calibri" w:hAnsi="Calibri"/>
          <w:b w:val="0"/>
          <w:i w:val="0"/>
          <w:color w:val="1B2A32"/>
          <w:sz w:val="21"/>
        </w:rPr>
        <w:t>*“That clause is in an older wording. Since October 2023 the regulator's position is that retail policies should not carry an arbitration clause at all, and in any event your right to go to a consumer commission can't be taken away by one. So arbitration isn't the route here — your routes are the insurer's grievance cell, the Insurance Ombudsman, a consumer commission or a court, and mediation alongside any of them.”*</w:t>
      </w:r>
    </w:p>
    <w:p>
      <w:pPr>
        <w:keepNext/>
        <w:spacing w:before="200" w:after="60"/>
      </w:pPr>
      <w:r>
        <w:rPr>
          <w:rFonts w:ascii="Calibri" w:hAnsi="Calibri"/>
          <w:b/>
          <w:i w:val="0"/>
          <w:color w:val="1E7A8C"/>
          <w:sz w:val="25"/>
        </w:rPr>
        <w:t>7.5  S5  When the insurer says “the policyholder has to arbitrate”</w:t>
      </w:r>
    </w:p>
    <w:p>
      <w:pPr>
        <w:spacing w:after="120"/>
        <w:jc w:val="both"/>
      </w:pPr>
      <w:r>
        <w:rPr>
          <w:rFonts w:ascii="Calibri" w:hAnsi="Calibri"/>
          <w:b w:val="0"/>
          <w:i w:val="0"/>
          <w:color w:val="1B2A32"/>
          <w:sz w:val="21"/>
        </w:rPr>
        <w:t>*“I'd want to note two things on the record. This is a retail policy, and the IRDAI circular of 27 October 2023 is that retail policies are not to carry arbitration clauses. And separately, the consumer remedy is an independent statutory right that isn't ousted by an arbitration clause. I'm not deciding anything — I'm just recording that the position is contested.”*</w:t>
      </w:r>
    </w:p>
    <w:p>
      <w:pPr>
        <w:keepNext/>
        <w:spacing w:before="200" w:after="60"/>
      </w:pPr>
      <w:r>
        <w:rPr>
          <w:rFonts w:ascii="Calibri" w:hAnsi="Calibri"/>
          <w:b/>
          <w:i w:val="0"/>
          <w:color w:val="1E7A8C"/>
          <w:sz w:val="25"/>
        </w:rPr>
        <w:t>7.6  S6  When the party is bereaved</w:t>
      </w:r>
    </w:p>
    <w:p>
      <w:pPr>
        <w:spacing w:after="120"/>
        <w:jc w:val="both"/>
      </w:pPr>
      <w:r>
        <w:rPr>
          <w:rFonts w:ascii="Calibri" w:hAnsi="Calibri"/>
          <w:b w:val="0"/>
          <w:i w:val="0"/>
          <w:color w:val="1B2A32"/>
          <w:sz w:val="21"/>
        </w:rPr>
        <w:t>*“I'm sorry. We can do this at whatever pace works for you, and you don't have to do it alone — bring someone. There is one date I do need to give you today, because it doesn't wait, and then we can stop.”*</w:t>
      </w:r>
    </w:p>
    <w:p>
      <w:r>
        <w:br w:type="page"/>
      </w:r>
    </w:p>
    <w:p>
      <w:pPr>
        <w:keepNext/>
        <w:spacing w:before="280" w:after="120"/>
        <w:pBdr>
          <w:bottom w:val="single" w:sz="12" w:space="3" w:color="C6A15B"/>
        </w:pBdr>
      </w:pPr>
      <w:r>
        <w:rPr>
          <w:rFonts w:ascii="Calibri" w:hAnsi="Calibri"/>
          <w:b/>
          <w:i w:val="0"/>
          <w:color w:val="123B4F"/>
          <w:sz w:val="32"/>
        </w:rPr>
        <w:t>8.  Quick-reference grids</w:t>
      </w:r>
    </w:p>
    <w:p>
      <w:pPr>
        <w:keepNext/>
        <w:spacing w:before="200" w:after="60"/>
      </w:pPr>
      <w:r>
        <w:rPr>
          <w:rFonts w:ascii="Calibri" w:hAnsi="Calibri"/>
          <w:b/>
          <w:i w:val="0"/>
          <w:color w:val="1E7A8C"/>
          <w:sz w:val="25"/>
        </w:rPr>
        <w:t>8.1  G1  The five Ombudsman conditions</w:t>
      </w:r>
    </w:p>
    <w:tbl>
      <w:tblPr>
        <w:tblStyle w:val="TableGrid"/>
        <w:tblW w:type="auto" w:w="0"/>
        <w:jc w:val="center"/>
        <w:tblLook w:firstColumn="1" w:firstRow="1" w:lastColumn="0" w:lastRow="0" w:noHBand="0" w:noVBand="1" w:val="04A0"/>
      </w:tblPr>
      <w:tblGrid>
        <w:gridCol w:w="3168"/>
        <w:gridCol w:w="3168"/>
        <w:gridCol w:w="3168"/>
      </w:tblGrid>
      <w:tr>
        <w:tc>
          <w:tcPr>
            <w:tcW w:type="dxa" w:w="7200"/>
            <w:shd w:val="clear" w:fill="123B4F"/>
          </w:tcPr>
          <w:p>
            <w:r/>
            <w:r>
              <w:rPr>
                <w:rFonts w:ascii="Calibri" w:hAnsi="Calibri"/>
                <w:b/>
                <w:i w:val="0"/>
                <w:color w:val="FFFFFF"/>
                <w:sz w:val="18"/>
              </w:rPr>
              <w:t>#</w:t>
            </w:r>
          </w:p>
        </w:tc>
        <w:tc>
          <w:tcPr>
            <w:tcW w:type="dxa" w:w="72000"/>
            <w:shd w:val="clear" w:fill="123B4F"/>
          </w:tcPr>
          <w:p>
            <w:r/>
            <w:r>
              <w:rPr>
                <w:rFonts w:ascii="Calibri" w:hAnsi="Calibri"/>
                <w:b/>
                <w:i w:val="0"/>
                <w:color w:val="FFFFFF"/>
                <w:sz w:val="18"/>
              </w:rPr>
              <w:t>Condition</w:t>
            </w:r>
          </w:p>
        </w:tc>
        <w:tc>
          <w:tcPr>
            <w:tcW w:type="dxa" w:w="64800"/>
            <w:shd w:val="clear" w:fill="123B4F"/>
          </w:tcPr>
          <w:p>
            <w:r/>
            <w:r>
              <w:rPr>
                <w:rFonts w:ascii="Calibri" w:hAnsi="Calibri"/>
                <w:b/>
                <w:i w:val="0"/>
                <w:color w:val="FFFFFF"/>
                <w:sz w:val="18"/>
              </w:rPr>
              <w:t>Where it usually fails</w:t>
            </w:r>
          </w:p>
        </w:tc>
      </w:tr>
      <w:tr>
        <w:tc>
          <w:tcPr>
            <w:tcW w:type="dxa" w:w="7200"/>
          </w:tcPr>
          <w:p>
            <w:r/>
            <w:r>
              <w:rPr>
                <w:rFonts w:ascii="Calibri" w:hAnsi="Calibri"/>
                <w:b w:val="0"/>
                <w:i w:val="0"/>
                <w:color w:val="1B2A32"/>
                <w:sz w:val="18"/>
              </w:rPr>
              <w:t>1</w:t>
            </w:r>
          </w:p>
        </w:tc>
        <w:tc>
          <w:tcPr>
            <w:tcW w:type="dxa" w:w="72000"/>
          </w:tcPr>
          <w:p>
            <w:r/>
            <w:r>
              <w:rPr>
                <w:rFonts w:ascii="Calibri" w:hAnsi="Calibri"/>
                <w:b w:val="0"/>
                <w:i w:val="0"/>
                <w:color w:val="1B2A32"/>
                <w:sz w:val="18"/>
              </w:rPr>
              <w:t>Written representation made to the insurer</w:t>
            </w:r>
          </w:p>
        </w:tc>
        <w:tc>
          <w:tcPr>
            <w:tcW w:type="dxa" w:w="64800"/>
          </w:tcPr>
          <w:p>
            <w:r/>
            <w:r>
              <w:rPr>
                <w:rFonts w:ascii="Calibri" w:hAnsi="Calibri"/>
                <w:b w:val="0"/>
                <w:i w:val="0"/>
                <w:color w:val="1B2A32"/>
                <w:sz w:val="18"/>
              </w:rPr>
              <w:t>Party complained by phone only</w:t>
            </w:r>
          </w:p>
        </w:tc>
      </w:tr>
      <w:tr>
        <w:tc>
          <w:tcPr>
            <w:tcW w:type="dxa" w:w="7200"/>
            <w:shd w:val="clear" w:fill="F3F7F9"/>
          </w:tcPr>
          <w:p>
            <w:r/>
            <w:r>
              <w:rPr>
                <w:rFonts w:ascii="Calibri" w:hAnsi="Calibri"/>
                <w:b w:val="0"/>
                <w:i w:val="0"/>
                <w:color w:val="1B2A32"/>
                <w:sz w:val="18"/>
              </w:rPr>
              <w:t>2</w:t>
            </w:r>
          </w:p>
        </w:tc>
        <w:tc>
          <w:tcPr>
            <w:tcW w:type="dxa" w:w="72000"/>
            <w:shd w:val="clear" w:fill="F3F7F9"/>
          </w:tcPr>
          <w:p>
            <w:r/>
            <w:r>
              <w:rPr>
                <w:rFonts w:ascii="Calibri" w:hAnsi="Calibri"/>
                <w:b w:val="0"/>
                <w:i w:val="0"/>
                <w:color w:val="1B2A32"/>
                <w:sz w:val="18"/>
              </w:rPr>
              <w:t>Rejected / no reply in 30 days / unsatisfactory</w:t>
            </w:r>
          </w:p>
        </w:tc>
        <w:tc>
          <w:tcPr>
            <w:tcW w:type="dxa" w:w="64800"/>
            <w:shd w:val="clear" w:fill="F3F7F9"/>
          </w:tcPr>
          <w:p>
            <w:r/>
            <w:r>
              <w:rPr>
                <w:rFonts w:ascii="Calibri" w:hAnsi="Calibri"/>
                <w:b w:val="0"/>
                <w:i w:val="0"/>
                <w:color w:val="1B2A32"/>
                <w:sz w:val="18"/>
              </w:rPr>
              <w:t>Party escalated too early</w:t>
            </w:r>
          </w:p>
        </w:tc>
      </w:tr>
      <w:tr>
        <w:tc>
          <w:tcPr>
            <w:tcW w:type="dxa" w:w="7200"/>
          </w:tcPr>
          <w:p>
            <w:r/>
            <w:r>
              <w:rPr>
                <w:rFonts w:ascii="Calibri" w:hAnsi="Calibri"/>
                <w:b w:val="0"/>
                <w:i w:val="0"/>
                <w:color w:val="1B2A32"/>
                <w:sz w:val="18"/>
              </w:rPr>
              <w:t>3</w:t>
            </w:r>
          </w:p>
        </w:tc>
        <w:tc>
          <w:tcPr>
            <w:tcW w:type="dxa" w:w="72000"/>
          </w:tcPr>
          <w:p>
            <w:r/>
            <w:r>
              <w:rPr>
                <w:rFonts w:ascii="Calibri" w:hAnsi="Calibri"/>
                <w:b w:val="0"/>
                <w:i w:val="0"/>
                <w:color w:val="1B2A32"/>
                <w:sz w:val="18"/>
              </w:rPr>
              <w:t>Within one year</w:t>
            </w:r>
          </w:p>
        </w:tc>
        <w:tc>
          <w:tcPr>
            <w:tcW w:type="dxa" w:w="64800"/>
          </w:tcPr>
          <w:p>
            <w:r/>
            <w:r>
              <w:rPr>
                <w:rFonts w:ascii="Calibri" w:hAnsi="Calibri"/>
                <w:b w:val="0"/>
                <w:i w:val="0"/>
                <w:color w:val="1B2A32"/>
                <w:sz w:val="18"/>
              </w:rPr>
              <w:t>The most common permanent loss</w:t>
            </w:r>
          </w:p>
        </w:tc>
      </w:tr>
      <w:tr>
        <w:tc>
          <w:tcPr>
            <w:tcW w:type="dxa" w:w="7200"/>
            <w:shd w:val="clear" w:fill="F3F7F9"/>
          </w:tcPr>
          <w:p>
            <w:r/>
            <w:r>
              <w:rPr>
                <w:rFonts w:ascii="Calibri" w:hAnsi="Calibri"/>
                <w:b w:val="0"/>
                <w:i w:val="0"/>
                <w:color w:val="1B2A32"/>
                <w:sz w:val="18"/>
              </w:rPr>
              <w:t>4</w:t>
            </w:r>
          </w:p>
        </w:tc>
        <w:tc>
          <w:tcPr>
            <w:tcW w:type="dxa" w:w="72000"/>
            <w:shd w:val="clear" w:fill="F3F7F9"/>
          </w:tcPr>
          <w:p>
            <w:r/>
            <w:r>
              <w:rPr>
                <w:rFonts w:ascii="Calibri" w:hAnsi="Calibri"/>
                <w:b w:val="0"/>
                <w:i w:val="0"/>
                <w:color w:val="1B2A32"/>
                <w:sz w:val="18"/>
              </w:rPr>
              <w:t>Claim within ₹50 lakh</w:t>
            </w:r>
          </w:p>
        </w:tc>
        <w:tc>
          <w:tcPr>
            <w:tcW w:type="dxa" w:w="64800"/>
            <w:shd w:val="clear" w:fill="F3F7F9"/>
          </w:tcPr>
          <w:p>
            <w:r/>
            <w:r>
              <w:rPr>
                <w:rFonts w:ascii="Calibri" w:hAnsi="Calibri"/>
                <w:b w:val="0"/>
                <w:i w:val="0"/>
                <w:color w:val="1B2A32"/>
                <w:sz w:val="18"/>
              </w:rPr>
              <w:t>Large health and commercial claims</w:t>
            </w:r>
          </w:p>
        </w:tc>
      </w:tr>
      <w:tr>
        <w:tc>
          <w:tcPr>
            <w:tcW w:type="dxa" w:w="7200"/>
          </w:tcPr>
          <w:p>
            <w:r/>
            <w:r>
              <w:rPr>
                <w:rFonts w:ascii="Calibri" w:hAnsi="Calibri"/>
                <w:b w:val="0"/>
                <w:i w:val="0"/>
                <w:color w:val="1B2A32"/>
                <w:sz w:val="18"/>
              </w:rPr>
              <w:t>5</w:t>
            </w:r>
          </w:p>
        </w:tc>
        <w:tc>
          <w:tcPr>
            <w:tcW w:type="dxa" w:w="72000"/>
          </w:tcPr>
          <w:p>
            <w:r/>
            <w:r>
              <w:rPr>
                <w:rFonts w:ascii="Calibri" w:hAnsi="Calibri"/>
                <w:b w:val="0"/>
                <w:i w:val="0"/>
                <w:color w:val="1B2A32"/>
                <w:sz w:val="18"/>
              </w:rPr>
              <w:t>Not pending / decided elsewhere</w:t>
            </w:r>
          </w:p>
        </w:tc>
        <w:tc>
          <w:tcPr>
            <w:tcW w:type="dxa" w:w="64800"/>
          </w:tcPr>
          <w:p>
            <w:r/>
            <w:r>
              <w:rPr>
                <w:rFonts w:ascii="Calibri" w:hAnsi="Calibri"/>
                <w:b w:val="0"/>
                <w:i w:val="0"/>
                <w:color w:val="1B2A32"/>
                <w:sz w:val="18"/>
              </w:rPr>
              <w:t>Party already filed in a consumer commission</w:t>
            </w:r>
          </w:p>
        </w:tc>
      </w:tr>
    </w:tbl>
    <w:p>
      <w:pPr>
        <w:spacing w:after="40"/>
      </w:pPr>
    </w:p>
    <w:p>
      <w:pPr>
        <w:keepNext/>
        <w:spacing w:before="200" w:after="60"/>
      </w:pPr>
      <w:r>
        <w:rPr>
          <w:rFonts w:ascii="Calibri" w:hAnsi="Calibri"/>
          <w:b/>
          <w:i w:val="0"/>
          <w:color w:val="1E7A8C"/>
          <w:sz w:val="25"/>
        </w:rPr>
        <w:t>8.2  G2  Health deduction quick check</w:t>
      </w:r>
    </w:p>
    <w:p>
      <w:pPr>
        <w:pStyle w:val="ListBullet"/>
        <w:spacing w:after="60"/>
        <w:jc w:val="both"/>
      </w:pPr>
      <w:r>
        <w:rPr>
          <w:rFonts w:ascii="Calibri" w:hAnsi="Calibri"/>
          <w:b w:val="0"/>
          <w:i w:val="0"/>
          <w:color w:val="1B2A32"/>
          <w:sz w:val="21"/>
        </w:rPr>
        <w:t xml:space="preserve">Does this head of charge </w:t>
      </w:r>
      <w:r>
        <w:rPr>
          <w:rFonts w:ascii="Calibri" w:hAnsi="Calibri"/>
          <w:b/>
          <w:i w:val="0"/>
          <w:color w:val="1B2A32"/>
          <w:sz w:val="21"/>
        </w:rPr>
        <w:t>actually vary with room category</w:t>
      </w:r>
      <w:r>
        <w:rPr>
          <w:rFonts w:ascii="Calibri" w:hAnsi="Calibri"/>
          <w:b w:val="0"/>
          <w:i w:val="0"/>
          <w:color w:val="1B2A32"/>
          <w:sz w:val="21"/>
        </w:rPr>
        <w:t>? Surgeon's fee, anaesthetist, implant and investigations usually do not.</w:t>
      </w:r>
    </w:p>
    <w:p>
      <w:pPr>
        <w:pStyle w:val="ListBullet"/>
        <w:spacing w:after="60"/>
        <w:jc w:val="both"/>
      </w:pPr>
      <w:r>
        <w:rPr>
          <w:rFonts w:ascii="Calibri" w:hAnsi="Calibri"/>
          <w:b w:val="0"/>
          <w:i w:val="0"/>
          <w:color w:val="1B2A32"/>
          <w:sz w:val="21"/>
        </w:rPr>
        <w:t xml:space="preserve">Was </w:t>
      </w:r>
      <w:r>
        <w:rPr>
          <w:rFonts w:ascii="Calibri" w:hAnsi="Calibri"/>
          <w:b/>
          <w:i w:val="0"/>
          <w:color w:val="1B2A32"/>
          <w:sz w:val="21"/>
        </w:rPr>
        <w:t>co-pay applied before or after</w:t>
      </w:r>
      <w:r>
        <w:rPr>
          <w:rFonts w:ascii="Calibri" w:hAnsi="Calibri"/>
          <w:b w:val="0"/>
          <w:i w:val="0"/>
          <w:color w:val="1B2A32"/>
          <w:sz w:val="21"/>
        </w:rPr>
        <w:t xml:space="preserve"> the proportionate reduction? After is double-counting.</w:t>
      </w:r>
    </w:p>
    <w:p>
      <w:pPr>
        <w:pStyle w:val="ListBullet"/>
        <w:spacing w:after="60"/>
        <w:jc w:val="both"/>
      </w:pPr>
      <w:r>
        <w:rPr>
          <w:rFonts w:ascii="Calibri" w:hAnsi="Calibri"/>
          <w:b w:val="0"/>
          <w:i w:val="0"/>
          <w:color w:val="1B2A32"/>
          <w:sz w:val="21"/>
        </w:rPr>
        <w:t xml:space="preserve">Is the </w:t>
      </w:r>
      <w:r>
        <w:rPr>
          <w:rFonts w:ascii="Calibri" w:hAnsi="Calibri"/>
          <w:b/>
          <w:i w:val="0"/>
          <w:color w:val="1B2A32"/>
          <w:sz w:val="21"/>
        </w:rPr>
        <w:t>first-ever inception date</w:t>
      </w:r>
      <w:r>
        <w:rPr>
          <w:rFonts w:ascii="Calibri" w:hAnsi="Calibri"/>
          <w:b w:val="0"/>
          <w:i w:val="0"/>
          <w:color w:val="1B2A32"/>
          <w:sz w:val="21"/>
        </w:rPr>
        <w:t xml:space="preserve"> on the file — or only the current policy year?</w:t>
      </w:r>
    </w:p>
    <w:p>
      <w:pPr>
        <w:pStyle w:val="ListBullet"/>
        <w:spacing w:after="60"/>
        <w:jc w:val="both"/>
      </w:pPr>
      <w:r>
        <w:rPr>
          <w:rFonts w:ascii="Calibri" w:hAnsi="Calibri"/>
          <w:b w:val="0"/>
          <w:i w:val="0"/>
          <w:color w:val="1B2A32"/>
          <w:sz w:val="21"/>
        </w:rPr>
        <w:t xml:space="preserve">If </w:t>
      </w:r>
      <w:r>
        <w:rPr>
          <w:rFonts w:ascii="Calibri" w:hAnsi="Calibri"/>
          <w:b/>
          <w:i w:val="0"/>
          <w:color w:val="1B2A32"/>
          <w:sz w:val="21"/>
        </w:rPr>
        <w:t>ported</w:t>
      </w:r>
      <w:r>
        <w:rPr>
          <w:rFonts w:ascii="Calibri" w:hAnsi="Calibri"/>
          <w:b w:val="0"/>
          <w:i w:val="0"/>
          <w:color w:val="1B2A32"/>
          <w:sz w:val="21"/>
        </w:rPr>
        <w:t>, has continuity credit for waiting periods been given?</w:t>
      </w:r>
    </w:p>
    <w:p>
      <w:pPr>
        <w:pStyle w:val="ListBullet"/>
        <w:spacing w:after="60"/>
        <w:jc w:val="both"/>
      </w:pPr>
      <w:r>
        <w:rPr>
          <w:rFonts w:ascii="Calibri" w:hAnsi="Calibri"/>
          <w:b w:val="0"/>
          <w:i w:val="0"/>
          <w:color w:val="1B2A32"/>
          <w:sz w:val="21"/>
        </w:rPr>
        <w:t xml:space="preserve">Is the condition alleged pre-existing actually </w:t>
      </w:r>
      <w:r>
        <w:rPr>
          <w:rFonts w:ascii="Calibri" w:hAnsi="Calibri"/>
          <w:b/>
          <w:i w:val="0"/>
          <w:color w:val="1B2A32"/>
          <w:sz w:val="21"/>
        </w:rPr>
        <w:t>evidenced</w:t>
      </w:r>
      <w:r>
        <w:rPr>
          <w:rFonts w:ascii="Calibri" w:hAnsi="Calibri"/>
          <w:b w:val="0"/>
          <w:i w:val="0"/>
          <w:color w:val="1B2A32"/>
          <w:sz w:val="21"/>
        </w:rPr>
        <w:t>, or inferred from a single line in a discharge summary?</w:t>
      </w:r>
    </w:p>
    <w:p>
      <w:pPr>
        <w:keepNext/>
        <w:spacing w:before="200" w:after="60"/>
      </w:pPr>
      <w:r>
        <w:rPr>
          <w:rFonts w:ascii="Calibri" w:hAnsi="Calibri"/>
          <w:b/>
          <w:i w:val="0"/>
          <w:color w:val="1E7A8C"/>
          <w:sz w:val="25"/>
        </w:rPr>
        <w:t>8.3  G3  Motor quick check</w:t>
      </w:r>
    </w:p>
    <w:p>
      <w:pPr>
        <w:pStyle w:val="ListBullet"/>
        <w:spacing w:after="60"/>
        <w:jc w:val="both"/>
      </w:pPr>
      <w:r>
        <w:rPr>
          <w:rFonts w:ascii="Calibri" w:hAnsi="Calibri"/>
          <w:b w:val="0"/>
          <w:i w:val="0"/>
          <w:color w:val="1B2A32"/>
          <w:sz w:val="21"/>
        </w:rPr>
        <w:t>Repair cost as a percentage of IDV — is this really a total loss?</w:t>
      </w:r>
    </w:p>
    <w:p>
      <w:pPr>
        <w:pStyle w:val="ListBullet"/>
        <w:spacing w:after="60"/>
        <w:jc w:val="both"/>
      </w:pPr>
      <w:r>
        <w:rPr>
          <w:rFonts w:ascii="Calibri" w:hAnsi="Calibri"/>
          <w:b w:val="0"/>
          <w:i w:val="0"/>
          <w:color w:val="1B2A32"/>
          <w:sz w:val="21"/>
        </w:rPr>
        <w:t xml:space="preserve">Was a </w:t>
      </w:r>
      <w:r>
        <w:rPr>
          <w:rFonts w:ascii="Calibri" w:hAnsi="Calibri"/>
          <w:b/>
          <w:i w:val="0"/>
          <w:color w:val="1B2A32"/>
          <w:sz w:val="21"/>
        </w:rPr>
        <w:t>zero-depreciation</w:t>
      </w:r>
      <w:r>
        <w:rPr>
          <w:rFonts w:ascii="Calibri" w:hAnsi="Calibri"/>
          <w:b w:val="0"/>
          <w:i w:val="0"/>
          <w:color w:val="1B2A32"/>
          <w:sz w:val="21"/>
        </w:rPr>
        <w:t xml:space="preserve"> add-on sold? If it was mis-described, this is a mis-selling matter too.</w:t>
      </w:r>
    </w:p>
    <w:p>
      <w:pPr>
        <w:pStyle w:val="ListBullet"/>
        <w:spacing w:after="60"/>
        <w:jc w:val="both"/>
      </w:pPr>
      <w:r>
        <w:rPr>
          <w:rFonts w:ascii="Calibri" w:hAnsi="Calibri"/>
          <w:b w:val="0"/>
          <w:i w:val="0"/>
          <w:color w:val="1B2A32"/>
          <w:sz w:val="21"/>
        </w:rPr>
        <w:t>Salvage: who has it, and on whose valuation?</w:t>
      </w:r>
    </w:p>
    <w:p>
      <w:pPr>
        <w:pStyle w:val="ListBullet"/>
        <w:spacing w:after="60"/>
        <w:jc w:val="both"/>
      </w:pPr>
      <w:r>
        <w:rPr>
          <w:rFonts w:ascii="Calibri" w:hAnsi="Calibri"/>
          <w:b w:val="0"/>
          <w:i w:val="0"/>
          <w:color w:val="1B2A32"/>
          <w:sz w:val="21"/>
        </w:rPr>
        <w:t xml:space="preserve">Breach alleged — what is the </w:t>
      </w:r>
      <w:r>
        <w:rPr>
          <w:rFonts w:ascii="Calibri" w:hAnsi="Calibri"/>
          <w:b/>
          <w:i w:val="0"/>
          <w:color w:val="1B2A32"/>
          <w:sz w:val="21"/>
        </w:rPr>
        <w:t>nexus with the loss</w:t>
      </w:r>
      <w:r>
        <w:rPr>
          <w:rFonts w:ascii="Calibri" w:hAnsi="Calibri"/>
          <w:b w:val="0"/>
          <w:i w:val="0"/>
          <w:color w:val="1B2A32"/>
          <w:sz w:val="21"/>
        </w:rPr>
        <w:t>? If none, the non-standard settlement route opens.</w:t>
      </w:r>
    </w:p>
    <w:p>
      <w:pPr>
        <w:keepNext/>
        <w:spacing w:before="200" w:after="60"/>
      </w:pPr>
      <w:r>
        <w:rPr>
          <w:rFonts w:ascii="Calibri" w:hAnsi="Calibri"/>
          <w:b/>
          <w:i w:val="0"/>
          <w:color w:val="1E7A8C"/>
          <w:sz w:val="25"/>
        </w:rPr>
        <w:t>8.4  G4  Life quick check</w:t>
      </w:r>
    </w:p>
    <w:p>
      <w:pPr>
        <w:pStyle w:val="ListBullet"/>
        <w:spacing w:after="60"/>
        <w:jc w:val="both"/>
      </w:pPr>
      <w:r>
        <w:rPr>
          <w:rFonts w:ascii="Calibri" w:hAnsi="Calibri"/>
          <w:b w:val="0"/>
          <w:i w:val="0"/>
          <w:color w:val="1B2A32"/>
          <w:sz w:val="21"/>
        </w:rPr>
        <w:t xml:space="preserve">What is the </w:t>
      </w:r>
      <w:r>
        <w:rPr>
          <w:rFonts w:ascii="Calibri" w:hAnsi="Calibri"/>
          <w:b/>
          <w:i w:val="0"/>
          <w:color w:val="1B2A32"/>
          <w:sz w:val="21"/>
        </w:rPr>
        <w:t>later</w:t>
      </w:r>
      <w:r>
        <w:rPr>
          <w:rFonts w:ascii="Calibri" w:hAnsi="Calibri"/>
          <w:b w:val="0"/>
          <w:i w:val="0"/>
          <w:color w:val="1B2A32"/>
          <w:sz w:val="21"/>
        </w:rPr>
        <w:t xml:space="preserve"> of issue, commencement of risk, revival and rider? Start there.</w:t>
      </w:r>
    </w:p>
    <w:p>
      <w:pPr>
        <w:pStyle w:val="ListBullet"/>
        <w:spacing w:after="60"/>
        <w:jc w:val="both"/>
      </w:pPr>
      <w:r>
        <w:rPr>
          <w:rFonts w:ascii="Calibri" w:hAnsi="Calibri"/>
          <w:b w:val="0"/>
          <w:i w:val="0"/>
          <w:color w:val="1B2A32"/>
          <w:sz w:val="21"/>
        </w:rPr>
        <w:t xml:space="preserve">Was the ground </w:t>
      </w:r>
      <w:r>
        <w:rPr>
          <w:rFonts w:ascii="Calibri" w:hAnsi="Calibri"/>
          <w:b/>
          <w:i w:val="0"/>
          <w:color w:val="1B2A32"/>
          <w:sz w:val="21"/>
        </w:rPr>
        <w:t>communicated in writing with the materials relied on</w:t>
      </w:r>
      <w:r>
        <w:rPr>
          <w:rFonts w:ascii="Calibri" w:hAnsi="Calibri"/>
          <w:b w:val="0"/>
          <w:i w:val="0"/>
          <w:color w:val="1B2A32"/>
          <w:sz w:val="21"/>
        </w:rPr>
        <w:t>?</w:t>
      </w:r>
    </w:p>
    <w:p>
      <w:pPr>
        <w:pStyle w:val="ListBullet"/>
        <w:spacing w:after="60"/>
        <w:jc w:val="both"/>
      </w:pPr>
      <w:r>
        <w:rPr>
          <w:rFonts w:ascii="Calibri" w:hAnsi="Calibri"/>
          <w:b w:val="0"/>
          <w:i w:val="0"/>
          <w:color w:val="1B2A32"/>
          <w:sz w:val="21"/>
        </w:rPr>
        <w:t>Who filled the proposal form?</w:t>
      </w:r>
    </w:p>
    <w:p>
      <w:pPr>
        <w:pStyle w:val="ListBullet"/>
        <w:spacing w:after="60"/>
        <w:jc w:val="both"/>
      </w:pPr>
      <w:r>
        <w:rPr>
          <w:rFonts w:ascii="Calibri" w:hAnsi="Calibri"/>
          <w:b w:val="0"/>
          <w:i w:val="0"/>
          <w:color w:val="1B2A32"/>
          <w:sz w:val="21"/>
        </w:rPr>
        <w:t xml:space="preserve">Was there a </w:t>
      </w:r>
      <w:r>
        <w:rPr>
          <w:rFonts w:ascii="Calibri" w:hAnsi="Calibri"/>
          <w:b/>
          <w:i w:val="0"/>
          <w:color w:val="1B2A32"/>
          <w:sz w:val="21"/>
        </w:rPr>
        <w:t>medical examination</w:t>
      </w:r>
      <w:r>
        <w:rPr>
          <w:rFonts w:ascii="Calibri" w:hAnsi="Calibri"/>
          <w:b w:val="0"/>
          <w:i w:val="0"/>
          <w:color w:val="1B2A32"/>
          <w:sz w:val="21"/>
        </w:rPr>
        <w:t>, and what did it disclose?</w:t>
      </w:r>
    </w:p>
    <w:p>
      <w:pPr>
        <w:keepNext/>
        <w:spacing w:before="200" w:after="60"/>
      </w:pPr>
      <w:r>
        <w:rPr>
          <w:rFonts w:ascii="Calibri" w:hAnsi="Calibri"/>
          <w:b/>
          <w:i w:val="0"/>
          <w:color w:val="1E7A8C"/>
          <w:sz w:val="25"/>
        </w:rPr>
        <w:t>8.5  G5  Commercial quick check</w:t>
      </w:r>
    </w:p>
    <w:p>
      <w:pPr>
        <w:pStyle w:val="ListBullet"/>
        <w:spacing w:after="60"/>
        <w:jc w:val="both"/>
      </w:pPr>
      <w:r>
        <w:rPr>
          <w:rFonts w:ascii="Calibri" w:hAnsi="Calibri"/>
          <w:b w:val="0"/>
          <w:i w:val="0"/>
          <w:color w:val="1B2A32"/>
          <w:sz w:val="21"/>
        </w:rPr>
        <w:t>Was the survey report shared before the decision?</w:t>
      </w:r>
    </w:p>
    <w:p>
      <w:pPr>
        <w:pStyle w:val="ListBullet"/>
        <w:spacing w:after="60"/>
        <w:jc w:val="both"/>
      </w:pPr>
      <w:r>
        <w:rPr>
          <w:rFonts w:ascii="Calibri" w:hAnsi="Calibri"/>
          <w:b w:val="0"/>
          <w:i w:val="0"/>
          <w:color w:val="1B2A32"/>
          <w:sz w:val="21"/>
        </w:rPr>
        <w:t>Value at risk — on what basis, and at what date?</w:t>
      </w:r>
    </w:p>
    <w:p>
      <w:pPr>
        <w:pStyle w:val="ListBullet"/>
        <w:spacing w:after="60"/>
        <w:jc w:val="both"/>
      </w:pPr>
      <w:r>
        <w:rPr>
          <w:rFonts w:ascii="Calibri" w:hAnsi="Calibri"/>
          <w:b w:val="0"/>
          <w:i w:val="0"/>
          <w:color w:val="1B2A32"/>
          <w:sz w:val="21"/>
        </w:rPr>
        <w:t>Does the schedule's basis of indemnity match the wording?</w:t>
      </w:r>
    </w:p>
    <w:p>
      <w:pPr>
        <w:pStyle w:val="ListBullet"/>
        <w:spacing w:after="60"/>
        <w:jc w:val="both"/>
      </w:pPr>
      <w:r>
        <w:rPr>
          <w:rFonts w:ascii="Calibri" w:hAnsi="Calibri"/>
          <w:b w:val="0"/>
          <w:i w:val="0"/>
          <w:color w:val="1B2A32"/>
          <w:sz w:val="21"/>
        </w:rPr>
        <w:t>Who set the sum insured — and should they be in the room?</w:t>
      </w:r>
    </w:p>
    <w:p>
      <w:pPr>
        <w:pStyle w:val="ListBullet"/>
        <w:spacing w:after="60"/>
        <w:jc w:val="both"/>
      </w:pPr>
      <w:r>
        <w:rPr>
          <w:rFonts w:ascii="Calibri" w:hAnsi="Calibri"/>
          <w:b w:val="0"/>
          <w:i w:val="0"/>
          <w:color w:val="1B2A32"/>
          <w:sz w:val="21"/>
        </w:rPr>
        <w:t>Is there a co-insurer or reinsurer whose agreement the lead insurer needs?</w:t>
      </w:r>
    </w:p>
    <w:p>
      <w:pPr>
        <w:keepNext/>
        <w:spacing w:before="200" w:after="60"/>
      </w:pPr>
      <w:r>
        <w:rPr>
          <w:rFonts w:ascii="Calibri" w:hAnsi="Calibri"/>
          <w:b/>
          <w:i w:val="0"/>
          <w:color w:val="1E7A8C"/>
          <w:sz w:val="25"/>
        </w:rPr>
        <w:t>8.6  G6  Escalate to the Head of Legal immediately if…</w:t>
      </w:r>
    </w:p>
    <w:tbl>
      <w:tblPr>
        <w:tblStyle w:val="TableGrid"/>
        <w:tblW w:type="auto" w:w="0"/>
        <w:jc w:val="center"/>
        <w:tblLook w:firstColumn="1" w:firstRow="1" w:lastColumn="0" w:lastRow="0" w:noHBand="0" w:noVBand="1" w:val="04A0"/>
      </w:tblPr>
      <w:tblGrid>
        <w:gridCol w:w="4752"/>
        <w:gridCol w:w="4752"/>
      </w:tblGrid>
      <w:tr>
        <w:tc>
          <w:tcPr>
            <w:tcW w:type="dxa" w:w="74880"/>
            <w:shd w:val="clear" w:fill="123B4F"/>
          </w:tcPr>
          <w:p>
            <w:r/>
            <w:r>
              <w:rPr>
                <w:rFonts w:ascii="Calibri" w:hAnsi="Calibri"/>
                <w:b/>
                <w:i w:val="0"/>
                <w:color w:val="FFFFFF"/>
                <w:sz w:val="18"/>
              </w:rPr>
              <w:t>Trigger</w:t>
            </w:r>
          </w:p>
        </w:tc>
        <w:tc>
          <w:tcPr>
            <w:tcW w:type="dxa" w:w="69120"/>
            <w:shd w:val="clear" w:fill="123B4F"/>
          </w:tcPr>
          <w:p>
            <w:r/>
            <w:r>
              <w:rPr>
                <w:rFonts w:ascii="Calibri" w:hAnsi="Calibri"/>
                <w:b/>
                <w:i w:val="0"/>
                <w:color w:val="FFFFFF"/>
                <w:sz w:val="18"/>
              </w:rPr>
              <w:t>Why</w:t>
            </w:r>
          </w:p>
        </w:tc>
      </w:tr>
      <w:tr>
        <w:tc>
          <w:tcPr>
            <w:tcW w:type="dxa" w:w="74880"/>
          </w:tcPr>
          <w:p>
            <w:r/>
            <w:r>
              <w:rPr>
                <w:rFonts w:ascii="Calibri" w:hAnsi="Calibri"/>
                <w:b w:val="0"/>
                <w:i w:val="0"/>
                <w:color w:val="1B2A32"/>
                <w:sz w:val="18"/>
              </w:rPr>
              <w:t>A retail matter has been routed to arbitration</w:t>
            </w:r>
          </w:p>
        </w:tc>
        <w:tc>
          <w:tcPr>
            <w:tcW w:type="dxa" w:w="69120"/>
          </w:tcPr>
          <w:p>
            <w:r/>
            <w:r>
              <w:rPr>
                <w:rFonts w:ascii="Calibri" w:hAnsi="Calibri"/>
                <w:b w:val="0"/>
                <w:i w:val="0"/>
                <w:color w:val="1B2A32"/>
                <w:sz w:val="18"/>
              </w:rPr>
              <w:t>Critical compliance breach</w:t>
            </w:r>
          </w:p>
        </w:tc>
      </w:tr>
      <w:tr>
        <w:tc>
          <w:tcPr>
            <w:tcW w:type="dxa" w:w="74880"/>
            <w:shd w:val="clear" w:fill="F3F7F9"/>
          </w:tcPr>
          <w:p>
            <w:r/>
            <w:r>
              <w:rPr>
                <w:rFonts w:ascii="Calibri" w:hAnsi="Calibri"/>
                <w:b w:val="0"/>
                <w:i w:val="0"/>
                <w:color w:val="1B2A32"/>
                <w:sz w:val="18"/>
              </w:rPr>
              <w:t>An Ombudsman window has expired during our process</w:t>
            </w:r>
          </w:p>
        </w:tc>
        <w:tc>
          <w:tcPr>
            <w:tcW w:type="dxa" w:w="69120"/>
            <w:shd w:val="clear" w:fill="F3F7F9"/>
          </w:tcPr>
          <w:p>
            <w:r/>
            <w:r>
              <w:rPr>
                <w:rFonts w:ascii="Calibri" w:hAnsi="Calibri"/>
                <w:b w:val="0"/>
                <w:i w:val="0"/>
                <w:color w:val="1B2A32"/>
                <w:sz w:val="18"/>
              </w:rPr>
              <w:t>Critical — direct harm to the party</w:t>
            </w:r>
          </w:p>
        </w:tc>
      </w:tr>
      <w:tr>
        <w:tc>
          <w:tcPr>
            <w:tcW w:type="dxa" w:w="74880"/>
          </w:tcPr>
          <w:p>
            <w:r/>
            <w:r>
              <w:rPr>
                <w:rFonts w:ascii="Calibri" w:hAnsi="Calibri"/>
                <w:b w:val="0"/>
                <w:i w:val="0"/>
                <w:color w:val="1B2A32"/>
                <w:sz w:val="18"/>
              </w:rPr>
              <w:t>The insurer alleges fabricated documents or a staged loss</w:t>
            </w:r>
          </w:p>
        </w:tc>
        <w:tc>
          <w:tcPr>
            <w:tcW w:type="dxa" w:w="69120"/>
          </w:tcPr>
          <w:p>
            <w:r/>
            <w:r>
              <w:rPr>
                <w:rFonts w:ascii="Calibri" w:hAnsi="Calibri"/>
                <w:b w:val="0"/>
                <w:i w:val="0"/>
                <w:color w:val="1B2A32"/>
                <w:sz w:val="18"/>
              </w:rPr>
              <w:t>Not mediable</w:t>
            </w:r>
          </w:p>
        </w:tc>
      </w:tr>
      <w:tr>
        <w:tc>
          <w:tcPr>
            <w:tcW w:type="dxa" w:w="74880"/>
            <w:shd w:val="clear" w:fill="F3F7F9"/>
          </w:tcPr>
          <w:p>
            <w:r/>
            <w:r>
              <w:rPr>
                <w:rFonts w:ascii="Calibri" w:hAnsi="Calibri"/>
                <w:b w:val="0"/>
                <w:i w:val="0"/>
                <w:color w:val="1B2A32"/>
                <w:sz w:val="18"/>
              </w:rPr>
              <w:t>A settlement draft contains a waiver of a statutory right</w:t>
            </w:r>
          </w:p>
        </w:tc>
        <w:tc>
          <w:tcPr>
            <w:tcW w:type="dxa" w:w="69120"/>
            <w:shd w:val="clear" w:fill="F3F7F9"/>
          </w:tcPr>
          <w:p>
            <w:r/>
            <w:r>
              <w:rPr>
                <w:rFonts w:ascii="Calibri" w:hAnsi="Calibri"/>
                <w:b w:val="0"/>
                <w:i w:val="0"/>
                <w:color w:val="1B2A32"/>
                <w:sz w:val="18"/>
              </w:rPr>
              <w:t>Not enforceable and not ethical</w:t>
            </w:r>
          </w:p>
        </w:tc>
      </w:tr>
      <w:tr>
        <w:tc>
          <w:tcPr>
            <w:tcW w:type="dxa" w:w="74880"/>
          </w:tcPr>
          <w:p>
            <w:r/>
            <w:r>
              <w:rPr>
                <w:rFonts w:ascii="Calibri" w:hAnsi="Calibri"/>
                <w:b w:val="0"/>
                <w:i w:val="0"/>
                <w:color w:val="1B2A32"/>
                <w:sz w:val="18"/>
              </w:rPr>
              <w:t>A neutral has not disclosed a relationship with the insurer</w:t>
            </w:r>
          </w:p>
        </w:tc>
        <w:tc>
          <w:tcPr>
            <w:tcW w:type="dxa" w:w="69120"/>
          </w:tcPr>
          <w:p>
            <w:r/>
            <w:r>
              <w:rPr>
                <w:rFonts w:ascii="Calibri" w:hAnsi="Calibri"/>
                <w:b w:val="0"/>
                <w:i w:val="0"/>
                <w:color w:val="1B2A32"/>
                <w:sz w:val="18"/>
              </w:rPr>
              <w:t>Independence failure</w:t>
            </w:r>
          </w:p>
        </w:tc>
      </w:tr>
      <w:tr>
        <w:tc>
          <w:tcPr>
            <w:tcW w:type="dxa" w:w="74880"/>
            <w:shd w:val="clear" w:fill="F3F7F9"/>
          </w:tcPr>
          <w:p>
            <w:r/>
            <w:r>
              <w:rPr>
                <w:rFonts w:ascii="Calibri" w:hAnsi="Calibri"/>
                <w:b w:val="0"/>
                <w:i w:val="0"/>
                <w:color w:val="1B2A32"/>
                <w:sz w:val="18"/>
              </w:rPr>
              <w:t>A party is threatened, or a criminal offence is disclosed</w:t>
            </w:r>
          </w:p>
        </w:tc>
        <w:tc>
          <w:tcPr>
            <w:tcW w:type="dxa" w:w="69120"/>
            <w:shd w:val="clear" w:fill="F3F7F9"/>
          </w:tcPr>
          <w:p>
            <w:r/>
            <w:r>
              <w:rPr>
                <w:rFonts w:ascii="Calibri" w:hAnsi="Calibri"/>
                <w:b w:val="0"/>
                <w:i w:val="0"/>
                <w:color w:val="1B2A32"/>
                <w:sz w:val="18"/>
              </w:rPr>
              <w:t>Outside the process</w:t>
            </w:r>
          </w:p>
        </w:tc>
      </w:tr>
    </w:tbl>
    <w:p>
      <w:pPr>
        <w:spacing w:after="40"/>
      </w:pPr>
    </w:p>
    <w:sectPr w:rsidR="00FC693F" w:rsidRPr="0006063C" w:rsidSect="00034616">
      <w:headerReference w:type="default" r:id="rId9"/>
      <w:footerReference w:type="default" r:id="rId10"/>
      <w:pgSz w:w="12240" w:h="15840"/>
      <w:pgMar w:top="1296" w:right="1368" w:bottom="1224"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56168"/>
        <w:sz w:val="16"/>
      </w:rPr>
      <w:t xml:space="preserve">Equator Resolution · An Infrabyx Group venture · Confidential draft — not legal advice · Page </w:t>
    </w:r>
    <w:r>
      <w:rPr>
        <w:rFonts w:ascii="Calibri" w:hAnsi="Calibri"/>
        <w:color w:val="556168"/>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C6A15B"/>
      </w:pBdr>
    </w:pPr>
    <w:r/>
    <w:r>
      <w:rPr>
        <w:rFonts w:ascii="Calibri" w:hAnsi="Calibri"/>
        <w:b w:val="0"/>
        <w:i w:val="0"/>
        <w:color w:val="556168"/>
        <w:sz w:val="16"/>
      </w:rPr>
      <w:t>Equator Resolution —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libri" w:hAnsi="Calibri"/>
      <w:color w:val="1B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3413809-D1FA-40F6-9E69-BF32D009D484}"/>
</file>

<file path=customXml/itemProps3.xml><?xml version="1.0" encoding="utf-8"?>
<ds:datastoreItem xmlns:ds="http://schemas.openxmlformats.org/officeDocument/2006/customXml" ds:itemID="{AB4459AC-E92B-4F7A-A830-F06CACC09615}"/>
</file>

<file path=customXml/itemProps4.xml><?xml version="1.0" encoding="utf-8"?>
<ds:datastoreItem xmlns:ds="http://schemas.openxmlformats.org/officeDocument/2006/customXml" ds:itemID="{C147C443-52CA-4630-903E-F22A458D1616}"/>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