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cs="Calibri"/>
          <w:b/>
          <w:i w:val="0"/>
          <w:color w:val="123B4F"/>
          <w:sz w:val="28"/>
        </w:rPr>
        <w:t>EQUATOR RESOLUTION</w:t>
      </w:r>
    </w:p>
    <w:p>
      <w:pPr>
        <w:spacing w:after="40"/>
        <w:jc w:val="center"/>
      </w:pPr>
      <w:r>
        <w:rPr>
          <w:rFonts w:ascii="Calibri" w:hAnsi="Calibri" w:cs="Calibri"/>
          <w:b w:val="0"/>
          <w:i w:val="0"/>
          <w:color w:val="556168"/>
          <w:sz w:val="19"/>
        </w:rPr>
        <w:t>www.equatorresolution.com   ·   An Infrabyx Group Venture</w:t>
      </w:r>
    </w:p>
    <w:p>
      <w:pPr>
        <w:pBdr>
          <w:bottom w:val="single" w:sz="14" w:space="1" w:color="C6A15B"/>
        </w:pBdr>
      </w:pPr>
    </w:p>
    <w:p>
      <w:pPr>
        <w:spacing w:before="160"/>
        <w:jc w:val="center"/>
      </w:pPr>
      <w:r>
        <w:rPr>
          <w:rFonts w:ascii="Calibri" w:hAnsi="Calibri" w:cs="Calibri"/>
          <w:b/>
          <w:i w:val="0"/>
          <w:color w:val="123B4F"/>
          <w:sz w:val="40"/>
        </w:rPr>
        <w:t>Your insurance claim was rejected. Now what?</w:t>
      </w:r>
    </w:p>
    <w:p>
      <w:pPr>
        <w:jc w:val="center"/>
      </w:pPr>
      <w:r>
        <w:rPr>
          <w:rFonts w:ascii="Calibri" w:hAnsi="Calibri" w:cs="Calibri"/>
          <w:b w:val="0"/>
          <w:i/>
          <w:color w:val="1E7A8C"/>
          <w:sz w:val="23"/>
        </w:rPr>
        <w:t>A plain-English guide to your options — and the dates that matter</w:t>
      </w:r>
    </w:p>
    <w:p>
      <w:pPr>
        <w:jc w:val="center"/>
      </w:pPr>
      <w:r>
        <w:rPr>
          <w:rFonts w:ascii="Calibri" w:hAnsi="Calibri" w:cs="Calibri"/>
          <w:b w:val="0"/>
          <w:i w:val="0"/>
          <w:color w:val="556168"/>
          <w:sz w:val="20"/>
        </w:rPr>
        <w:t>For policyholders, nominees and legal heirs  ·  July 2026</w:t>
      </w:r>
    </w:p>
    <w:p>
      <w:pPr>
        <w:keepNext/>
        <w:spacing w:before="220" w:after="60"/>
      </w:pPr>
      <w:r>
        <w:rPr>
          <w:rFonts w:ascii="Calibri" w:hAnsi="Calibri" w:cs="Calibri"/>
          <w:b/>
          <w:i w:val="0"/>
          <w:color w:val="123B4F"/>
          <w:sz w:val="28"/>
        </w:rPr>
        <w:t>Start here: you have more options than you think</w:t>
      </w:r>
    </w:p>
    <w:p>
      <w:pPr>
        <w:spacing w:after="140"/>
      </w:pPr>
      <w:r>
        <w:rPr>
          <w:rFonts w:ascii="Calibri" w:hAnsi="Calibri" w:cs="Calibri"/>
          <w:b w:val="0"/>
          <w:i w:val="0"/>
          <w:color w:val="1B2A32"/>
          <w:sz w:val="22"/>
        </w:rPr>
        <w:t xml:space="preserve">An insurer refusing or reducing a claim is not the end of the matter. There is a </w:t>
      </w:r>
      <w:r>
        <w:rPr>
          <w:rFonts w:ascii="Calibri" w:hAnsi="Calibri" w:cs="Calibri"/>
          <w:b/>
          <w:i w:val="0"/>
          <w:color w:val="1B2A32"/>
          <w:sz w:val="22"/>
        </w:rPr>
        <w:t>free government forum</w:t>
      </w:r>
      <w:r>
        <w:rPr>
          <w:rFonts w:ascii="Calibri" w:hAnsi="Calibri" w:cs="Calibri"/>
          <w:b w:val="0"/>
          <w:i w:val="0"/>
          <w:color w:val="1B2A32"/>
          <w:sz w:val="22"/>
        </w:rPr>
        <w:t xml:space="preserve"> for insurance complaints, a regulator that tracks grievances, consumer commissions, and — where both sides are willing — mediation, which is usually the fastest route of all. This leaflet explains each one and, more importantly, </w:t>
      </w:r>
      <w:r>
        <w:rPr>
          <w:rFonts w:ascii="Calibri" w:hAnsi="Calibri" w:cs="Calibri"/>
          <w:b/>
          <w:i w:val="0"/>
          <w:color w:val="1B2A32"/>
          <w:sz w:val="22"/>
        </w:rPr>
        <w:t>the deadlines that apply to you</w:t>
      </w:r>
      <w:r>
        <w:rPr>
          <w:rFonts w:ascii="Calibri" w:hAnsi="Calibri" w:cs="Calibri"/>
          <w:b w:val="0"/>
          <w:i w:val="0"/>
          <w:color w:val="1B2A32"/>
          <w:sz w:val="22"/>
        </w:rPr>
        <w:t>.</w:t>
      </w:r>
    </w:p>
    <w:tbl>
      <w:tblPr>
        <w:tblW w:type="auto" w:w="0"/>
        <w:tblLook w:firstColumn="1" w:firstRow="1" w:lastColumn="0" w:lastRow="0" w:noHBand="0" w:noVBand="1" w:val="04A0"/>
      </w:tblPr>
      <w:tblGrid>
        <w:gridCol w:w="9648"/>
      </w:tblGrid>
      <w:tr>
        <w:tc>
          <w:tcPr>
            <w:tcW w:type="dxa" w:w="9648"/>
            <w:shd w:val="clear" w:fill="F6E0E4"/>
            <w:tcBorders>
              <w:start w:val="single" w:sz="18" w:space="0" w:color="B23A48"/>
            </w:tcBorders>
          </w:tcPr>
          <w:p>
            <w:pPr>
              <w:spacing w:after="40"/>
            </w:pPr>
            <w:r>
              <w:rPr>
                <w:rFonts w:ascii="Calibri" w:hAnsi="Calibri" w:cs="Calibri"/>
                <w:b/>
                <w:i w:val="0"/>
                <w:color w:val="B23A48"/>
                <w:sz w:val="20"/>
              </w:rPr>
              <w:t>The most important thing on this page</w:t>
            </w:r>
          </w:p>
          <w:p>
            <w:pPr>
              <w:spacing w:after="40"/>
            </w:pPr>
            <w:r>
              <w:rPr>
                <w:rFonts w:ascii="Calibri" w:hAnsi="Calibri" w:cs="Calibri"/>
                <w:b w:val="0"/>
                <w:i w:val="0"/>
                <w:color w:val="B23A48"/>
                <w:sz w:val="20"/>
              </w:rPr>
              <w:t xml:space="preserve">You have </w:t>
            </w:r>
            <w:r>
              <w:rPr>
                <w:rFonts w:ascii="Calibri" w:hAnsi="Calibri" w:cs="Calibri"/>
                <w:b/>
                <w:i w:val="0"/>
                <w:color w:val="B23A48"/>
                <w:sz w:val="20"/>
              </w:rPr>
              <w:t>one year</w:t>
            </w:r>
            <w:r>
              <w:rPr>
                <w:rFonts w:ascii="Calibri" w:hAnsi="Calibri" w:cs="Calibri"/>
                <w:b w:val="0"/>
                <w:i w:val="0"/>
                <w:color w:val="B23A48"/>
                <w:sz w:val="20"/>
              </w:rPr>
              <w:t xml:space="preserve"> from the insurer's reply to take your complaint to the Insurance Ombudsman. That deadline does not pause for anything — not for further correspondence with the insurer, and not for mediation. Work out that date today and write it down.</w:t>
            </w:r>
          </w:p>
        </w:tc>
      </w:tr>
    </w:tbl>
    <w:p>
      <w:pPr>
        <w:spacing w:after="40"/>
      </w:pPr>
    </w:p>
    <w:p>
      <w:pPr>
        <w:keepNext/>
        <w:spacing w:before="220" w:after="60"/>
      </w:pPr>
      <w:r>
        <w:rPr>
          <w:rFonts w:ascii="Calibri" w:hAnsi="Calibri" w:cs="Calibri"/>
          <w:b/>
          <w:i w:val="0"/>
          <w:color w:val="123B4F"/>
          <w:sz w:val="26"/>
        </w:rPr>
        <w:t>Step 1 — Complain to your insurer, in writing</w:t>
      </w:r>
    </w:p>
    <w:p>
      <w:pPr>
        <w:spacing w:after="140"/>
      </w:pPr>
      <w:r>
        <w:rPr>
          <w:rFonts w:ascii="Calibri" w:hAnsi="Calibri" w:cs="Calibri"/>
          <w:b w:val="0"/>
          <w:i w:val="0"/>
          <w:color w:val="1B2A32"/>
          <w:sz w:val="22"/>
        </w:rPr>
        <w:t xml:space="preserve">Nothing else is possible until you do this. Write to the insurer's </w:t>
      </w:r>
      <w:r>
        <w:rPr>
          <w:rFonts w:ascii="Calibri" w:hAnsi="Calibri" w:cs="Calibri"/>
          <w:b/>
          <w:i w:val="0"/>
          <w:color w:val="1B2A32"/>
          <w:sz w:val="22"/>
        </w:rPr>
        <w:t>grievance redressal officer</w:t>
      </w:r>
      <w:r>
        <w:rPr>
          <w:rFonts w:ascii="Calibri" w:hAnsi="Calibri" w:cs="Calibri"/>
          <w:b w:val="0"/>
          <w:i w:val="0"/>
          <w:color w:val="1B2A32"/>
          <w:sz w:val="22"/>
        </w:rPr>
        <w:t>, set out the policy number, the claim number, what was decided and why you say it is wrong, and what you want. Keep proof of sending.</w:t>
      </w:r>
    </w:p>
    <w:p>
      <w:pPr>
        <w:spacing w:after="140"/>
      </w:pPr>
      <w:r>
        <w:rPr>
          <w:rFonts w:ascii="Calibri" w:hAnsi="Calibri" w:cs="Calibri"/>
          <w:b w:val="0"/>
          <w:i w:val="0"/>
          <w:color w:val="1B2A32"/>
          <w:sz w:val="22"/>
        </w:rPr>
        <w:t xml:space="preserve">At the same time, register the same grievance free on </w:t>
      </w:r>
      <w:r>
        <w:rPr>
          <w:rFonts w:ascii="Calibri" w:hAnsi="Calibri" w:cs="Calibri"/>
          <w:b/>
          <w:i w:val="0"/>
          <w:color w:val="1B2A32"/>
          <w:sz w:val="22"/>
        </w:rPr>
        <w:t>Bima Bharosa</w:t>
      </w:r>
      <w:r>
        <w:rPr>
          <w:rFonts w:ascii="Calibri" w:hAnsi="Calibri" w:cs="Calibri"/>
          <w:b w:val="0"/>
          <w:i w:val="0"/>
          <w:color w:val="1B2A32"/>
          <w:sz w:val="22"/>
        </w:rPr>
        <w:t xml:space="preserve">, the insurance regulator's online grievance system, and note the </w:t>
      </w:r>
      <w:r>
        <w:rPr>
          <w:rFonts w:ascii="Calibri" w:hAnsi="Calibri" w:cs="Calibri"/>
          <w:b/>
          <w:i w:val="0"/>
          <w:color w:val="1B2A32"/>
          <w:sz w:val="22"/>
        </w:rPr>
        <w:t>token number</w:t>
      </w:r>
      <w:r>
        <w:rPr>
          <w:rFonts w:ascii="Calibri" w:hAnsi="Calibri" w:cs="Calibri"/>
          <w:b w:val="0"/>
          <w:i w:val="0"/>
          <w:color w:val="1B2A32"/>
          <w:sz w:val="22"/>
        </w:rPr>
        <w:t>. It takes minutes, it costs nothing, and it is independent proof of the date you complained.</w:t>
      </w:r>
    </w:p>
    <w:p>
      <w:pPr>
        <w:spacing w:after="140"/>
      </w:pPr>
      <w:r>
        <w:rPr>
          <w:rFonts w:ascii="Calibri" w:hAnsi="Calibri" w:cs="Calibri"/>
          <w:b/>
          <w:i w:val="0"/>
          <w:color w:val="1B2A32"/>
          <w:sz w:val="22"/>
        </w:rPr>
        <w:t>Then give the insurer 30 days.</w:t>
      </w:r>
    </w:p>
    <w:p>
      <w:pPr>
        <w:keepNext/>
        <w:spacing w:before="220" w:after="60"/>
      </w:pPr>
      <w:r>
        <w:rPr>
          <w:rFonts w:ascii="Calibri" w:hAnsi="Calibri" w:cs="Calibri"/>
          <w:b/>
          <w:i w:val="0"/>
          <w:color w:val="123B4F"/>
          <w:sz w:val="26"/>
        </w:rPr>
        <w:t>Step 2 — The Insurance Ombudsman</w:t>
      </w:r>
    </w:p>
    <w:p>
      <w:pPr>
        <w:spacing w:after="140"/>
      </w:pPr>
      <w:r>
        <w:rPr>
          <w:rFonts w:ascii="Calibri" w:hAnsi="Calibri" w:cs="Calibri"/>
          <w:b w:val="0"/>
          <w:i w:val="0"/>
          <w:color w:val="1B2A32"/>
          <w:sz w:val="22"/>
        </w:rPr>
        <w:t xml:space="preserve">If the insurer rejects your representation, does not reply within 30 days, or replies unsatisfactorily, you can go to the </w:t>
      </w:r>
      <w:r>
        <w:rPr>
          <w:rFonts w:ascii="Calibri" w:hAnsi="Calibri" w:cs="Calibri"/>
          <w:b/>
          <w:i w:val="0"/>
          <w:color w:val="1B2A32"/>
          <w:sz w:val="22"/>
        </w:rPr>
        <w:t>Insurance Ombudsman</w:t>
      </w:r>
      <w:r>
        <w:rPr>
          <w:rFonts w:ascii="Calibri" w:hAnsi="Calibri" w:cs="Calibri"/>
          <w:b w:val="0"/>
          <w:i w:val="0"/>
          <w:color w:val="1B2A32"/>
          <w:sz w:val="22"/>
        </w:rPr>
        <w:t>. This is the single most useful right most policyholders do not know they have.</w:t>
      </w:r>
    </w:p>
    <w:p>
      <w:pPr>
        <w:pStyle w:val="ListBullet"/>
        <w:spacing w:after="80"/>
      </w:pPr>
      <w:r>
        <w:rPr>
          <w:rFonts w:ascii="Calibri" w:hAnsi="Calibri" w:cs="Calibri"/>
          <w:b w:val="0"/>
          <w:i w:val="0"/>
          <w:color w:val="1B2A32"/>
          <w:sz w:val="22"/>
        </w:rPr>
        <w:t xml:space="preserve">It is </w:t>
      </w:r>
      <w:r>
        <w:rPr>
          <w:rFonts w:ascii="Calibri" w:hAnsi="Calibri" w:cs="Calibri"/>
          <w:b/>
          <w:i w:val="0"/>
          <w:color w:val="1B2A32"/>
          <w:sz w:val="22"/>
        </w:rPr>
        <w:t>free</w:t>
      </w:r>
      <w:r>
        <w:rPr>
          <w:rFonts w:ascii="Calibri" w:hAnsi="Calibri" w:cs="Calibri"/>
          <w:b w:val="0"/>
          <w:i w:val="0"/>
          <w:color w:val="1B2A32"/>
          <w:sz w:val="22"/>
        </w:rPr>
        <w:t>. There is no fee.</w:t>
      </w:r>
    </w:p>
    <w:p>
      <w:pPr>
        <w:pStyle w:val="ListBullet"/>
        <w:spacing w:after="80"/>
      </w:pPr>
      <w:r>
        <w:rPr>
          <w:rFonts w:ascii="Calibri" w:hAnsi="Calibri" w:cs="Calibri"/>
          <w:b w:val="0"/>
          <w:i w:val="0"/>
          <w:color w:val="1B2A32"/>
          <w:sz w:val="22"/>
        </w:rPr>
        <w:t xml:space="preserve">You </w:t>
      </w:r>
      <w:r>
        <w:rPr>
          <w:rFonts w:ascii="Calibri" w:hAnsi="Calibri" w:cs="Calibri"/>
          <w:b/>
          <w:i w:val="0"/>
          <w:color w:val="1B2A32"/>
          <w:sz w:val="22"/>
        </w:rPr>
        <w:t>do not need a lawyer</w:t>
      </w:r>
      <w:r>
        <w:rPr>
          <w:rFonts w:ascii="Calibri" w:hAnsi="Calibri" w:cs="Calibri"/>
          <w:b w:val="0"/>
          <w:i w:val="0"/>
          <w:color w:val="1B2A32"/>
          <w:sz w:val="22"/>
        </w:rPr>
        <w:t>.</w:t>
      </w:r>
    </w:p>
    <w:p>
      <w:pPr>
        <w:pStyle w:val="ListBullet"/>
        <w:spacing w:after="80"/>
      </w:pPr>
      <w:r>
        <w:rPr>
          <w:rFonts w:ascii="Calibri" w:hAnsi="Calibri" w:cs="Calibri"/>
          <w:b w:val="0"/>
          <w:i w:val="0"/>
          <w:color w:val="1B2A32"/>
          <w:sz w:val="22"/>
        </w:rPr>
        <w:t xml:space="preserve">There are </w:t>
      </w:r>
      <w:r>
        <w:rPr>
          <w:rFonts w:ascii="Calibri" w:hAnsi="Calibri" w:cs="Calibri"/>
          <w:b/>
          <w:i w:val="0"/>
          <w:color w:val="1B2A32"/>
          <w:sz w:val="22"/>
        </w:rPr>
        <w:t>17 offices</w:t>
      </w:r>
      <w:r>
        <w:rPr>
          <w:rFonts w:ascii="Calibri" w:hAnsi="Calibri" w:cs="Calibri"/>
          <w:b w:val="0"/>
          <w:i w:val="0"/>
          <w:color w:val="1B2A32"/>
          <w:sz w:val="22"/>
        </w:rPr>
        <w:t xml:space="preserve"> across India, and you can file and track your complaint online.</w:t>
      </w:r>
    </w:p>
    <w:p>
      <w:pPr>
        <w:pStyle w:val="ListBullet"/>
        <w:spacing w:after="80"/>
      </w:pPr>
      <w:r>
        <w:rPr>
          <w:rFonts w:ascii="Calibri" w:hAnsi="Calibri" w:cs="Calibri"/>
          <w:b w:val="0"/>
          <w:i w:val="0"/>
          <w:color w:val="1B2A32"/>
          <w:sz w:val="22"/>
        </w:rPr>
        <w:t xml:space="preserve">It can deal with claims </w:t>
      </w:r>
      <w:r>
        <w:rPr>
          <w:rFonts w:ascii="Calibri" w:hAnsi="Calibri" w:cs="Calibri"/>
          <w:b/>
          <w:i w:val="0"/>
          <w:color w:val="1B2A32"/>
          <w:sz w:val="22"/>
        </w:rPr>
        <w:t>up to ₹50 lakh</w:t>
      </w:r>
      <w:r>
        <w:rPr>
          <w:rFonts w:ascii="Calibri" w:hAnsi="Calibri" w:cs="Calibri"/>
          <w:b w:val="0"/>
          <w:i w:val="0"/>
          <w:color w:val="1B2A32"/>
          <w:sz w:val="22"/>
        </w:rPr>
        <w:t>.</w:t>
      </w:r>
    </w:p>
    <w:p>
      <w:pPr>
        <w:pStyle w:val="ListBullet"/>
        <w:spacing w:after="80"/>
      </w:pPr>
      <w:r>
        <w:rPr>
          <w:rFonts w:ascii="Calibri" w:hAnsi="Calibri" w:cs="Calibri"/>
          <w:b w:val="0"/>
          <w:i w:val="0"/>
          <w:color w:val="1B2A32"/>
          <w:sz w:val="22"/>
        </w:rPr>
        <w:t xml:space="preserve">If it makes an award, the </w:t>
      </w:r>
      <w:r>
        <w:rPr>
          <w:rFonts w:ascii="Calibri" w:hAnsi="Calibri" w:cs="Calibri"/>
          <w:b/>
          <w:i w:val="0"/>
          <w:color w:val="1B2A32"/>
          <w:sz w:val="22"/>
        </w:rPr>
        <w:t>insurer must comply</w:t>
      </w:r>
      <w:r>
        <w:rPr>
          <w:rFonts w:ascii="Calibri" w:hAnsi="Calibri" w:cs="Calibri"/>
          <w:b w:val="0"/>
          <w:i w:val="0"/>
          <w:color w:val="1B2A32"/>
          <w:sz w:val="22"/>
        </w:rPr>
        <w:t xml:space="preserve"> up to ₹30 lakh, and must confirm compliance within 30 days.</w:t>
      </w:r>
    </w:p>
    <w:p>
      <w:pPr>
        <w:pStyle w:val="ListBullet"/>
        <w:spacing w:after="80"/>
      </w:pPr>
      <w:r>
        <w:rPr>
          <w:rFonts w:ascii="Calibri" w:hAnsi="Calibri" w:cs="Calibri"/>
          <w:b w:val="0"/>
          <w:i w:val="0"/>
          <w:color w:val="1B2A32"/>
          <w:sz w:val="22"/>
        </w:rPr>
        <w:t xml:space="preserve">The award is </w:t>
      </w:r>
      <w:r>
        <w:rPr>
          <w:rFonts w:ascii="Calibri" w:hAnsi="Calibri" w:cs="Calibri"/>
          <w:b/>
          <w:i w:val="0"/>
          <w:color w:val="1B2A32"/>
          <w:sz w:val="22"/>
        </w:rPr>
        <w:t>not binding on you</w:t>
      </w:r>
      <w:r>
        <w:rPr>
          <w:rFonts w:ascii="Calibri" w:hAnsi="Calibri" w:cs="Calibri"/>
          <w:b w:val="0"/>
          <w:i w:val="0"/>
          <w:color w:val="1B2A32"/>
          <w:sz w:val="22"/>
        </w:rPr>
        <w:t xml:space="preserve"> — if you are not satisfied you can still go to a consumer commission or a court.</w:t>
      </w:r>
    </w:p>
    <w:p>
      <w:pPr>
        <w:pStyle w:val="ListBullet"/>
        <w:spacing w:after="80"/>
      </w:pPr>
      <w:r>
        <w:rPr>
          <w:rFonts w:ascii="Calibri" w:hAnsi="Calibri" w:cs="Calibri"/>
          <w:b w:val="0"/>
          <w:i w:val="0"/>
          <w:color w:val="1B2A32"/>
          <w:sz w:val="22"/>
        </w:rPr>
        <w:t xml:space="preserve">An award is normally made </w:t>
      </w:r>
      <w:r>
        <w:rPr>
          <w:rFonts w:ascii="Calibri" w:hAnsi="Calibri" w:cs="Calibri"/>
          <w:b/>
          <w:i w:val="0"/>
          <w:color w:val="1B2A32"/>
          <w:sz w:val="22"/>
        </w:rPr>
        <w:t>within three months</w:t>
      </w:r>
      <w:r>
        <w:rPr>
          <w:rFonts w:ascii="Calibri" w:hAnsi="Calibri" w:cs="Calibri"/>
          <w:b w:val="0"/>
          <w:i w:val="0"/>
          <w:color w:val="1B2A32"/>
          <w:sz w:val="22"/>
        </w:rPr>
        <w:t xml:space="preserve"> of the Ombudsman having everything it needs.</w:t>
      </w:r>
    </w:p>
    <w:p>
      <w:pPr>
        <w:pStyle w:val="ListBullet"/>
        <w:spacing w:after="80"/>
      </w:pPr>
      <w:r>
        <w:rPr>
          <w:rFonts w:ascii="Calibri" w:hAnsi="Calibri" w:cs="Calibri"/>
          <w:b w:val="0"/>
          <w:i w:val="0"/>
          <w:color w:val="1B2A32"/>
          <w:sz w:val="22"/>
        </w:rPr>
        <w:t xml:space="preserve">Since 2021 it also covers </w:t>
      </w:r>
      <w:r>
        <w:rPr>
          <w:rFonts w:ascii="Calibri" w:hAnsi="Calibri" w:cs="Calibri"/>
          <w:b/>
          <w:i w:val="0"/>
          <w:color w:val="1B2A32"/>
          <w:sz w:val="22"/>
        </w:rPr>
        <w:t>deficiency in service</w:t>
      </w:r>
      <w:r>
        <w:rPr>
          <w:rFonts w:ascii="Calibri" w:hAnsi="Calibri" w:cs="Calibri"/>
          <w:b w:val="0"/>
          <w:i w:val="0"/>
          <w:color w:val="1B2A32"/>
          <w:sz w:val="22"/>
        </w:rPr>
        <w:t xml:space="preserve">, and complaints about </w:t>
      </w:r>
      <w:r>
        <w:rPr>
          <w:rFonts w:ascii="Calibri" w:hAnsi="Calibri" w:cs="Calibri"/>
          <w:b/>
          <w:i w:val="0"/>
          <w:color w:val="1B2A32"/>
          <w:sz w:val="22"/>
        </w:rPr>
        <w:t>agents and brokers</w:t>
      </w:r>
      <w:r>
        <w:rPr>
          <w:rFonts w:ascii="Calibri" w:hAnsi="Calibri" w:cs="Calibri"/>
          <w:b w:val="0"/>
          <w:i w:val="0"/>
          <w:color w:val="1B2A32"/>
          <w:sz w:val="22"/>
        </w:rPr>
        <w:t xml:space="preserve"> — which is what makes mis-selling complaints possible.</w:t>
      </w:r>
    </w:p>
    <w:tbl>
      <w:tblPr>
        <w:tblW w:type="auto" w:w="0"/>
        <w:tblLook w:firstColumn="1" w:firstRow="1" w:lastColumn="0" w:lastRow="0" w:noHBand="0" w:noVBand="1" w:val="04A0"/>
      </w:tblPr>
      <w:tblGrid>
        <w:gridCol w:w="9648"/>
      </w:tblGrid>
      <w:tr>
        <w:tc>
          <w:tcPr>
            <w:tcW w:type="dxa" w:w="9648"/>
            <w:shd w:val="clear" w:fill="F5ECD6"/>
            <w:tcBorders>
              <w:start w:val="single" w:sz="18" w:space="0" w:color="C6A15B"/>
            </w:tcBorders>
          </w:tcPr>
          <w:p>
            <w:pPr>
              <w:spacing w:after="40"/>
            </w:pPr>
            <w:r>
              <w:rPr>
                <w:rFonts w:ascii="Calibri" w:hAnsi="Calibri" w:cs="Calibri"/>
                <w:b w:val="0"/>
                <w:i w:val="0"/>
                <w:color w:val="123B4F"/>
                <w:sz w:val="20"/>
              </w:rPr>
              <w:t xml:space="preserve">You must file within </w:t>
            </w:r>
            <w:r>
              <w:rPr>
                <w:rFonts w:ascii="Calibri" w:hAnsi="Calibri" w:cs="Calibri"/>
                <w:b/>
                <w:i w:val="0"/>
                <w:color w:val="123B4F"/>
                <w:sz w:val="20"/>
              </w:rPr>
              <w:t>one year</w:t>
            </w:r>
            <w:r>
              <w:rPr>
                <w:rFonts w:ascii="Calibri" w:hAnsi="Calibri" w:cs="Calibri"/>
                <w:b w:val="0"/>
                <w:i w:val="0"/>
                <w:color w:val="123B4F"/>
                <w:sz w:val="20"/>
              </w:rPr>
              <w:t xml:space="preserve"> of the insurer's reply, or of the expiry of the 30 days you gave it. And you cannot use the Ombudsman if the same matter is already pending in, or has been decided by, a court, a consumer commission or an arbitration.</w:t>
            </w:r>
          </w:p>
        </w:tc>
      </w:tr>
    </w:tbl>
    <w:p>
      <w:pPr>
        <w:spacing w:after="40"/>
      </w:pPr>
    </w:p>
    <w:p>
      <w:pPr>
        <w:keepNext/>
        <w:spacing w:before="220" w:after="60"/>
      </w:pPr>
      <w:r>
        <w:rPr>
          <w:rFonts w:ascii="Calibri" w:hAnsi="Calibri" w:cs="Calibri"/>
          <w:b/>
          <w:i w:val="0"/>
          <w:color w:val="123B4F"/>
          <w:sz w:val="26"/>
        </w:rPr>
        <w:t>Step 3 — The consumer commission</w:t>
      </w:r>
    </w:p>
    <w:p>
      <w:pPr>
        <w:spacing w:after="140"/>
      </w:pPr>
      <w:r>
        <w:rPr>
          <w:rFonts w:ascii="Calibri" w:hAnsi="Calibri" w:cs="Calibri"/>
          <w:b w:val="0"/>
          <w:i w:val="0"/>
          <w:color w:val="1B2A32"/>
          <w:sz w:val="22"/>
        </w:rPr>
        <w:t>You are a consumer, and a deficiency in insurance service is actionable under the Consumer Protection Act, 2019. Filing is inexpensive and you do not need a lawyer. The commission is the right forum where your claim is above ₹50 lakh, where the one-year Ombudsman window has closed, or where you want compensation beyond the claim itself.</w:t>
      </w:r>
    </w:p>
    <w:p>
      <w:pPr>
        <w:spacing w:after="140"/>
      </w:pPr>
      <w:r>
        <w:rPr>
          <w:rFonts w:ascii="Calibri" w:hAnsi="Calibri" w:cs="Calibri"/>
          <w:b/>
          <w:i w:val="0"/>
          <w:color w:val="1B2A32"/>
          <w:sz w:val="22"/>
        </w:rPr>
        <w:t>But note the order.</w:t>
      </w:r>
      <w:r>
        <w:rPr>
          <w:rFonts w:ascii="Calibri" w:hAnsi="Calibri" w:cs="Calibri"/>
          <w:b w:val="0"/>
          <w:i w:val="0"/>
          <w:color w:val="1B2A32"/>
          <w:sz w:val="22"/>
        </w:rPr>
        <w:t xml:space="preserve"> Once you file in a consumer commission, the Ombudsman can no longer entertain the same matter. So think about the sequence before you file, not after.</w:t>
      </w:r>
    </w:p>
    <w:p>
      <w:pPr>
        <w:keepNext/>
        <w:spacing w:before="220" w:after="60"/>
      </w:pPr>
      <w:r>
        <w:rPr>
          <w:rFonts w:ascii="Calibri" w:hAnsi="Calibri" w:cs="Calibri"/>
          <w:b/>
          <w:i w:val="0"/>
          <w:color w:val="123B4F"/>
          <w:sz w:val="26"/>
        </w:rPr>
        <w:t>What about arbitration?</w:t>
      </w:r>
    </w:p>
    <w:tbl>
      <w:tblPr>
        <w:tblW w:type="auto" w:w="0"/>
        <w:tblLook w:firstColumn="1" w:firstRow="1" w:lastColumn="0" w:lastRow="0" w:noHBand="0" w:noVBand="1" w:val="04A0"/>
      </w:tblPr>
      <w:tblGrid>
        <w:gridCol w:w="9648"/>
      </w:tblGrid>
      <w:tr>
        <w:tc>
          <w:tcPr>
            <w:tcW w:type="dxa" w:w="9648"/>
            <w:shd w:val="clear" w:fill="F5ECD6"/>
            <w:tcBorders>
              <w:start w:val="single" w:sz="18" w:space="0" w:color="C6A15B"/>
            </w:tcBorders>
          </w:tcPr>
          <w:p>
            <w:pPr>
              <w:spacing w:after="40"/>
            </w:pPr>
            <w:r>
              <w:rPr>
                <w:rFonts w:ascii="Calibri" w:hAnsi="Calibri" w:cs="Calibri"/>
                <w:b/>
                <w:i w:val="0"/>
                <w:color w:val="123B4F"/>
                <w:sz w:val="20"/>
              </w:rPr>
              <w:t>If yours is a retail policy — a personal health, motor, life, home or travel policy — you should not be arbitrating.</w:t>
            </w:r>
          </w:p>
          <w:p>
            <w:pPr>
              <w:spacing w:after="40"/>
            </w:pPr>
            <w:r>
              <w:rPr>
                <w:rFonts w:ascii="Calibri" w:hAnsi="Calibri" w:cs="Calibri"/>
                <w:b w:val="0"/>
                <w:i w:val="0"/>
                <w:color w:val="123B4F"/>
                <w:sz w:val="20"/>
              </w:rPr>
              <w:t>Since an IRDAI circular of 27 October 2023, retail general-insurance policies are not to carry an arbitration clause at all. If your older policy still has one, it does not force you into arbitration, and your right to go to a consumer commission cannot be taken away by any arbitration clause. If anyone tells you otherwise, ask them for that in writing.</w:t>
            </w:r>
          </w:p>
        </w:tc>
      </w:tr>
    </w:tbl>
    <w:p>
      <w:pPr>
        <w:spacing w:after="40"/>
      </w:pPr>
    </w:p>
    <w:p>
      <w:pPr>
        <w:spacing w:after="140"/>
      </w:pPr>
      <w:r>
        <w:rPr>
          <w:rFonts w:ascii="Calibri" w:hAnsi="Calibri" w:cs="Calibri"/>
          <w:b w:val="0"/>
          <w:i w:val="0"/>
          <w:color w:val="1B2A32"/>
          <w:sz w:val="22"/>
        </w:rPr>
        <w:t xml:space="preserve">Arbitration is for </w:t>
      </w:r>
      <w:r>
        <w:rPr>
          <w:rFonts w:ascii="Calibri" w:hAnsi="Calibri" w:cs="Calibri"/>
          <w:b/>
          <w:i w:val="0"/>
          <w:color w:val="1B2A32"/>
          <w:sz w:val="22"/>
        </w:rPr>
        <w:t>commercial policies</w:t>
      </w:r>
      <w:r>
        <w:rPr>
          <w:rFonts w:ascii="Calibri" w:hAnsi="Calibri" w:cs="Calibri"/>
          <w:b w:val="0"/>
          <w:i w:val="0"/>
          <w:color w:val="1B2A32"/>
          <w:sz w:val="22"/>
        </w:rPr>
        <w:t xml:space="preserve"> — cover a business takes for its own risks — and even then only where both sides have separately and mutually agreed to it.</w:t>
      </w:r>
    </w:p>
    <w:p>
      <w:pPr>
        <w:keepNext/>
        <w:spacing w:before="220" w:after="60"/>
      </w:pPr>
      <w:r>
        <w:rPr>
          <w:rFonts w:ascii="Calibri" w:hAnsi="Calibri" w:cs="Calibri"/>
          <w:b/>
          <w:i w:val="0"/>
          <w:color w:val="123B4F"/>
          <w:sz w:val="26"/>
        </w:rPr>
        <w:t>Where Equator Resolution fits</w:t>
      </w:r>
    </w:p>
    <w:p>
      <w:pPr>
        <w:spacing w:after="140"/>
      </w:pPr>
      <w:r>
        <w:rPr>
          <w:rFonts w:ascii="Calibri" w:hAnsi="Calibri" w:cs="Calibri"/>
          <w:b w:val="0"/>
          <w:i w:val="0"/>
          <w:color w:val="1B2A32"/>
          <w:sz w:val="22"/>
        </w:rPr>
        <w:t xml:space="preserve">We are a private dispute-resolution institution. We are </w:t>
      </w:r>
      <w:r>
        <w:rPr>
          <w:rFonts w:ascii="Calibri" w:hAnsi="Calibri" w:cs="Calibri"/>
          <w:b/>
          <w:i w:val="0"/>
          <w:color w:val="1B2A32"/>
          <w:sz w:val="22"/>
        </w:rPr>
        <w:t>not</w:t>
      </w:r>
      <w:r>
        <w:rPr>
          <w:rFonts w:ascii="Calibri" w:hAnsi="Calibri" w:cs="Calibri"/>
          <w:b w:val="0"/>
          <w:i w:val="0"/>
          <w:color w:val="1B2A32"/>
          <w:sz w:val="22"/>
        </w:rPr>
        <w:t xml:space="preserve"> the Ombudsman, not the regulator, and not a court, and using us does not take away any of your rights. What we do is different from all of them:</w:t>
      </w:r>
    </w:p>
    <w:p>
      <w:pPr>
        <w:pStyle w:val="ListBullet"/>
        <w:spacing w:after="80"/>
      </w:pPr>
      <w:r>
        <w:rPr>
          <w:rFonts w:ascii="Calibri" w:hAnsi="Calibri" w:cs="Calibri"/>
          <w:b/>
          <w:i w:val="0"/>
          <w:color w:val="1B2A32"/>
          <w:sz w:val="22"/>
        </w:rPr>
        <w:t>We get the file.</w:t>
      </w:r>
      <w:r>
        <w:rPr>
          <w:rFonts w:ascii="Calibri" w:hAnsi="Calibri" w:cs="Calibri"/>
          <w:b w:val="0"/>
          <w:i w:val="0"/>
          <w:color w:val="1B2A32"/>
          <w:sz w:val="22"/>
        </w:rPr>
        <w:t xml:space="preserve"> We ask the insurer for the claim file, the wording and the surveyor's or investigator's report, and we put them in front of both sides. Most policyholders are arguing without ever having seen the basis of the decision.</w:t>
      </w:r>
    </w:p>
    <w:p>
      <w:pPr>
        <w:pStyle w:val="ListBullet"/>
        <w:spacing w:after="80"/>
      </w:pPr>
      <w:r>
        <w:rPr>
          <w:rFonts w:ascii="Calibri" w:hAnsi="Calibri" w:cs="Calibri"/>
          <w:b/>
          <w:i w:val="0"/>
          <w:color w:val="1B2A32"/>
          <w:sz w:val="22"/>
        </w:rPr>
        <w:t>We break the decision down.</w:t>
      </w:r>
      <w:r>
        <w:rPr>
          <w:rFonts w:ascii="Calibri" w:hAnsi="Calibri" w:cs="Calibri"/>
          <w:b w:val="0"/>
          <w:i w:val="0"/>
          <w:color w:val="1B2A32"/>
          <w:sz w:val="22"/>
        </w:rPr>
        <w:t xml:space="preserve"> Every ground the insurer relies on, in its own row, with the clause it cites and the document that answers it. Every deduction, line by line.</w:t>
      </w:r>
    </w:p>
    <w:p>
      <w:pPr>
        <w:pStyle w:val="ListBullet"/>
        <w:spacing w:after="80"/>
      </w:pPr>
      <w:r>
        <w:rPr>
          <w:rFonts w:ascii="Calibri" w:hAnsi="Calibri" w:cs="Calibri"/>
          <w:b/>
          <w:i w:val="0"/>
          <w:color w:val="1B2A32"/>
          <w:sz w:val="22"/>
        </w:rPr>
        <w:t>We are fast.</w:t>
      </w:r>
      <w:r>
        <w:rPr>
          <w:rFonts w:ascii="Calibri" w:hAnsi="Calibri" w:cs="Calibri"/>
          <w:b w:val="0"/>
          <w:i w:val="0"/>
          <w:color w:val="1B2A32"/>
          <w:sz w:val="22"/>
        </w:rPr>
        <w:t xml:space="preserve"> Typically 30 to 45 days.</w:t>
      </w:r>
    </w:p>
    <w:p>
      <w:pPr>
        <w:pStyle w:val="ListBullet"/>
        <w:spacing w:after="80"/>
      </w:pPr>
      <w:r>
        <w:rPr>
          <w:rFonts w:ascii="Calibri" w:hAnsi="Calibri" w:cs="Calibri"/>
          <w:b/>
          <w:i w:val="0"/>
          <w:color w:val="1B2A32"/>
          <w:sz w:val="22"/>
        </w:rPr>
        <w:t>We can agree things an award cannot give you</w:t>
      </w:r>
      <w:r>
        <w:rPr>
          <w:rFonts w:ascii="Calibri" w:hAnsi="Calibri" w:cs="Calibri"/>
          <w:b w:val="0"/>
          <w:i w:val="0"/>
          <w:color w:val="1B2A32"/>
          <w:sz w:val="22"/>
        </w:rPr>
        <w:t xml:space="preserve"> — your policy reinstated with your waiting periods intact, a black mark removed from your record, a mis-sold product converted, a payment date you can plan around.</w:t>
      </w:r>
    </w:p>
    <w:p>
      <w:pPr>
        <w:pStyle w:val="ListBullet"/>
        <w:spacing w:after="80"/>
      </w:pPr>
      <w:r>
        <w:rPr>
          <w:rFonts w:ascii="Calibri" w:hAnsi="Calibri" w:cs="Calibri"/>
          <w:b/>
          <w:i w:val="0"/>
          <w:color w:val="1B2A32"/>
          <w:sz w:val="22"/>
        </w:rPr>
        <w:t>What we agree is enforceable as a court decree</w:t>
      </w:r>
      <w:r>
        <w:rPr>
          <w:rFonts w:ascii="Calibri" w:hAnsi="Calibri" w:cs="Calibri"/>
          <w:b w:val="0"/>
          <w:i w:val="0"/>
          <w:color w:val="1B2A32"/>
          <w:sz w:val="22"/>
        </w:rPr>
        <w:t xml:space="preserve"> under section 27 of the Mediation Act, 2023.</w:t>
      </w:r>
    </w:p>
    <w:p>
      <w:pPr>
        <w:pStyle w:val="ListBullet"/>
        <w:spacing w:after="80"/>
      </w:pPr>
      <w:r>
        <w:rPr>
          <w:rFonts w:ascii="Calibri" w:hAnsi="Calibri" w:cs="Calibri"/>
          <w:b/>
          <w:i w:val="0"/>
          <w:color w:val="1B2A32"/>
          <w:sz w:val="22"/>
        </w:rPr>
        <w:t>We will always tell you your Ombudsman date</w:t>
      </w:r>
      <w:r>
        <w:rPr>
          <w:rFonts w:ascii="Calibri" w:hAnsi="Calibri" w:cs="Calibri"/>
          <w:b w:val="0"/>
          <w:i w:val="0"/>
          <w:color w:val="1B2A32"/>
          <w:sz w:val="22"/>
        </w:rPr>
        <w:t xml:space="preserve"> — and if we have not settled 60 days before it, we will tell you to file and help you do it.</w:t>
      </w:r>
    </w:p>
    <w:p>
      <w:pPr>
        <w:keepNext/>
        <w:spacing w:before="220" w:after="60"/>
      </w:pPr>
      <w:r>
        <w:rPr>
          <w:rFonts w:ascii="Calibri" w:hAnsi="Calibri" w:cs="Calibri"/>
          <w:b/>
          <w:i w:val="0"/>
          <w:color w:val="123B4F"/>
          <w:sz w:val="26"/>
        </w:rPr>
        <w:t>The disputes we see most often</w:t>
      </w:r>
    </w:p>
    <w:p>
      <w:pPr>
        <w:pStyle w:val="ListBullet"/>
        <w:spacing w:after="80"/>
      </w:pPr>
      <w:r>
        <w:rPr>
          <w:rFonts w:ascii="Calibri" w:hAnsi="Calibri" w:cs="Calibri"/>
          <w:b/>
          <w:i w:val="0"/>
          <w:color w:val="1B2A32"/>
          <w:sz w:val="22"/>
        </w:rPr>
        <w:t>Health</w:t>
      </w:r>
      <w:r>
        <w:rPr>
          <w:rFonts w:ascii="Calibri" w:hAnsi="Calibri" w:cs="Calibri"/>
          <w:b w:val="0"/>
          <w:i w:val="0"/>
          <w:color w:val="1B2A32"/>
          <w:sz w:val="22"/>
        </w:rPr>
        <w:t xml:space="preserve"> — pre-existing disease, waiting periods, room-rent deductions, co-pay, cashless refused.</w:t>
      </w:r>
    </w:p>
    <w:p>
      <w:pPr>
        <w:pStyle w:val="ListBullet"/>
        <w:spacing w:after="80"/>
      </w:pPr>
      <w:r>
        <w:rPr>
          <w:rFonts w:ascii="Calibri" w:hAnsi="Calibri" w:cs="Calibri"/>
          <w:b/>
          <w:i w:val="0"/>
          <w:color w:val="1B2A32"/>
          <w:sz w:val="22"/>
        </w:rPr>
        <w:t>Life</w:t>
      </w:r>
      <w:r>
        <w:rPr>
          <w:rFonts w:ascii="Calibri" w:hAnsi="Calibri" w:cs="Calibri"/>
          <w:b w:val="0"/>
          <w:i w:val="0"/>
          <w:color w:val="1B2A32"/>
          <w:sz w:val="22"/>
        </w:rPr>
        <w:t xml:space="preserve"> — early death claims, non-disclosure, nomination disputes, surrender and bonus.</w:t>
      </w:r>
    </w:p>
    <w:p>
      <w:pPr>
        <w:pStyle w:val="ListBullet"/>
        <w:spacing w:after="80"/>
      </w:pPr>
      <w:r>
        <w:rPr>
          <w:rFonts w:ascii="Calibri" w:hAnsi="Calibri" w:cs="Calibri"/>
          <w:b/>
          <w:i w:val="0"/>
          <w:color w:val="1B2A32"/>
          <w:sz w:val="22"/>
        </w:rPr>
        <w:t>Motor</w:t>
      </w:r>
      <w:r>
        <w:rPr>
          <w:rFonts w:ascii="Calibri" w:hAnsi="Calibri" w:cs="Calibri"/>
          <w:b w:val="0"/>
          <w:i w:val="0"/>
          <w:color w:val="1B2A32"/>
          <w:sz w:val="22"/>
        </w:rPr>
        <w:t xml:space="preserve"> — total loss and IDV, depreciation, salvage, licence or permit technicalities.</w:t>
      </w:r>
    </w:p>
    <w:p>
      <w:pPr>
        <w:pStyle w:val="ListBullet"/>
        <w:spacing w:after="80"/>
      </w:pPr>
      <w:r>
        <w:rPr>
          <w:rFonts w:ascii="Calibri" w:hAnsi="Calibri" w:cs="Calibri"/>
          <w:b/>
          <w:i w:val="0"/>
          <w:color w:val="1B2A32"/>
          <w:sz w:val="22"/>
        </w:rPr>
        <w:t>Mis-selling</w:t>
      </w:r>
      <w:r>
        <w:rPr>
          <w:rFonts w:ascii="Calibri" w:hAnsi="Calibri" w:cs="Calibri"/>
          <w:b w:val="0"/>
          <w:i w:val="0"/>
          <w:color w:val="1B2A32"/>
          <w:sz w:val="22"/>
        </w:rPr>
        <w:t xml:space="preserve"> — a policy sold as a deposit, a guaranteed return that was not, insurance sold as a condition of a loan.</w:t>
      </w:r>
    </w:p>
    <w:p>
      <w:pPr>
        <w:pStyle w:val="ListBullet"/>
        <w:spacing w:after="80"/>
      </w:pPr>
      <w:r>
        <w:rPr>
          <w:rFonts w:ascii="Calibri" w:hAnsi="Calibri" w:cs="Calibri"/>
          <w:b/>
          <w:i w:val="0"/>
          <w:color w:val="1B2A32"/>
          <w:sz w:val="22"/>
        </w:rPr>
        <w:t>Delay</w:t>
      </w:r>
      <w:r>
        <w:rPr>
          <w:rFonts w:ascii="Calibri" w:hAnsi="Calibri" w:cs="Calibri"/>
          <w:b w:val="0"/>
          <w:i w:val="0"/>
          <w:color w:val="1B2A32"/>
          <w:sz w:val="22"/>
        </w:rPr>
        <w:t xml:space="preserve"> — the claim that is neither paid nor refused.</w:t>
      </w:r>
    </w:p>
    <w:p>
      <w:pPr>
        <w:pStyle w:val="ListBullet"/>
        <w:spacing w:after="80"/>
      </w:pPr>
      <w:r>
        <w:rPr>
          <w:rFonts w:ascii="Calibri" w:hAnsi="Calibri" w:cs="Calibri"/>
          <w:b/>
          <w:i w:val="0"/>
          <w:color w:val="1B2A32"/>
          <w:sz w:val="22"/>
        </w:rPr>
        <w:t>Business policies</w:t>
      </w:r>
      <w:r>
        <w:rPr>
          <w:rFonts w:ascii="Calibri" w:hAnsi="Calibri" w:cs="Calibri"/>
          <w:b w:val="0"/>
          <w:i w:val="0"/>
          <w:color w:val="1B2A32"/>
          <w:sz w:val="22"/>
        </w:rPr>
        <w:t xml:space="preserve"> — fire, marine and engineering quantum disputes, underinsurance, business interruption.</w:t>
      </w:r>
    </w:p>
    <w:p>
      <w:pPr>
        <w:keepNext/>
        <w:spacing w:before="220" w:after="60"/>
      </w:pPr>
      <w:r>
        <w:rPr>
          <w:rFonts w:ascii="Calibri" w:hAnsi="Calibri" w:cs="Calibri"/>
          <w:b/>
          <w:i w:val="0"/>
          <w:color w:val="123B4F"/>
          <w:sz w:val="26"/>
        </w:rPr>
        <w:t>Two things to be careful about</w:t>
      </w:r>
    </w:p>
    <w:tbl>
      <w:tblPr>
        <w:tblW w:type="auto" w:w="0"/>
        <w:tblLook w:firstColumn="1" w:firstRow="1" w:lastColumn="0" w:lastRow="0" w:noHBand="0" w:noVBand="1" w:val="04A0"/>
      </w:tblPr>
      <w:tblGrid>
        <w:gridCol w:w="9648"/>
      </w:tblGrid>
      <w:tr>
        <w:tc>
          <w:tcPr>
            <w:tcW w:type="dxa" w:w="9648"/>
            <w:shd w:val="clear" w:fill="F6E0E4"/>
            <w:tcBorders>
              <w:start w:val="single" w:sz="18" w:space="0" w:color="B23A48"/>
            </w:tcBorders>
          </w:tcPr>
          <w:p>
            <w:pPr>
              <w:spacing w:after="40"/>
            </w:pPr>
            <w:r>
              <w:rPr>
                <w:rFonts w:ascii="Calibri" w:hAnsi="Calibri" w:cs="Calibri"/>
                <w:b/>
                <w:i w:val="0"/>
                <w:color w:val="B23A48"/>
                <w:sz w:val="20"/>
              </w:rPr>
              <w:t>Do not sign a full-and-final discharge voucher for an amount you dispute.</w:t>
            </w:r>
          </w:p>
          <w:p>
            <w:pPr>
              <w:spacing w:after="40"/>
            </w:pPr>
            <w:r>
              <w:rPr>
                <w:rFonts w:ascii="Calibri" w:hAnsi="Calibri" w:cs="Calibri"/>
                <w:b w:val="0"/>
                <w:i w:val="0"/>
                <w:color w:val="B23A48"/>
                <w:sz w:val="20"/>
              </w:rPr>
              <w:t>If you need the money and must accept a part-payment, write above your signature: *“Received ₹____ on account and under protest. I reserve my right to claim the balance of ₹____.”* A voucher signed under protest does not, by itself, stop you claiming the rest.</w:t>
            </w:r>
          </w:p>
        </w:tc>
      </w:tr>
    </w:tbl>
    <w:p>
      <w:pPr>
        <w:spacing w:after="40"/>
      </w:pPr>
    </w:p>
    <w:tbl>
      <w:tblPr>
        <w:tblW w:type="auto" w:w="0"/>
        <w:tblLook w:firstColumn="1" w:firstRow="1" w:lastColumn="0" w:lastRow="0" w:noHBand="0" w:noVBand="1" w:val="04A0"/>
      </w:tblPr>
      <w:tblGrid>
        <w:gridCol w:w="9648"/>
      </w:tblGrid>
      <w:tr>
        <w:tc>
          <w:tcPr>
            <w:tcW w:type="dxa" w:w="9648"/>
            <w:shd w:val="clear" w:fill="F5ECD6"/>
            <w:tcBorders>
              <w:start w:val="single" w:sz="18" w:space="0" w:color="C6A15B"/>
            </w:tcBorders>
          </w:tcPr>
          <w:p>
            <w:pPr>
              <w:spacing w:after="40"/>
            </w:pPr>
            <w:r>
              <w:rPr>
                <w:rFonts w:ascii="Calibri" w:hAnsi="Calibri" w:cs="Calibri"/>
                <w:b/>
                <w:i w:val="0"/>
                <w:color w:val="123B4F"/>
                <w:sz w:val="20"/>
              </w:rPr>
              <w:t>Keep every date.</w:t>
            </w:r>
            <w:r>
              <w:rPr>
                <w:rFonts w:ascii="Calibri" w:hAnsi="Calibri" w:cs="Calibri"/>
                <w:b w:val="0"/>
                <w:i w:val="0"/>
                <w:color w:val="123B4F"/>
                <w:sz w:val="20"/>
              </w:rPr>
              <w:t xml:space="preserve"> The date of the loss. The date you intimated the claim. The date of the insurer's letter. The date you complained. Insurance disputes are decided on dates more often than on arguments.</w:t>
            </w:r>
          </w:p>
        </w:tc>
      </w:tr>
    </w:tbl>
    <w:p>
      <w:pPr>
        <w:spacing w:after="40"/>
      </w:pPr>
    </w:p>
    <w:p>
      <w:pPr>
        <w:keepNext/>
        <w:spacing w:before="220" w:after="60"/>
      </w:pPr>
      <w:r>
        <w:rPr>
          <w:rFonts w:ascii="Calibri" w:hAnsi="Calibri" w:cs="Calibri"/>
          <w:b/>
          <w:i w:val="0"/>
          <w:color w:val="123B4F"/>
          <w:sz w:val="26"/>
        </w:rPr>
        <w:t>How to reach us</w:t>
      </w:r>
    </w:p>
    <w:p>
      <w:pPr>
        <w:spacing w:after="140"/>
      </w:pPr>
      <w:r>
        <w:rPr>
          <w:rFonts w:ascii="Calibri" w:hAnsi="Calibri" w:cs="Calibri"/>
          <w:b/>
          <w:i w:val="0"/>
          <w:color w:val="1B2A32"/>
          <w:sz w:val="22"/>
        </w:rPr>
        <w:t>www.equatorresolution.com</w:t>
      </w:r>
      <w:r>
        <w:rPr>
          <w:rFonts w:ascii="Calibri" w:hAnsi="Calibri" w:cs="Calibri"/>
          <w:b w:val="0"/>
          <w:i w:val="0"/>
          <w:color w:val="1B2A32"/>
          <w:sz w:val="22"/>
        </w:rPr>
        <w:t xml:space="preserve">  ·  A first conversation costs nothing and carries no obligation. Fee waivers and concessions are available. We will tell you honestly if the Ombudsman is the better route for you — and in many cases it is.</w:t>
      </w:r>
    </w:p>
    <w:p>
      <w:pPr>
        <w:spacing w:after="140"/>
      </w:pPr>
      <w:r>
        <w:rPr>
          <w:rFonts w:ascii="Calibri" w:hAnsi="Calibri" w:cs="Calibri"/>
          <w:b w:val="0"/>
          <w:i/>
          <w:color w:val="1B2A32"/>
          <w:sz w:val="19"/>
        </w:rPr>
        <w:t>Equator Resolution is an Infrabyx Group venture. We are neutral: we do not represent policyholders or insurers, we do not give legal advice, and we do not tell you whether your claim is good.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Calibri" w:hAnsi="Calibri"/>
      <w:color w:val="1B2A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F280124-A33B-45D1-821C-6890D3E13807}"/>
</file>

<file path=customXml/itemProps3.xml><?xml version="1.0" encoding="utf-8"?>
<ds:datastoreItem xmlns:ds="http://schemas.openxmlformats.org/officeDocument/2006/customXml" ds:itemID="{1CB4BE39-B355-41BC-B252-BB481D2F9893}"/>
</file>

<file path=customXml/itemProps4.xml><?xml version="1.0" encoding="utf-8"?>
<ds:datastoreItem xmlns:ds="http://schemas.openxmlformats.org/officeDocument/2006/customXml" ds:itemID="{1A28C51F-73C7-4FA9-B639-61373256B33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