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   ·   An Infrabyx Group Venture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Calibri" w:hAnsi="Calibri" w:cs="Calibri"/>
          <w:b/>
          <w:i w:val="0"/>
          <w:color w:val="123B4F"/>
          <w:sz w:val="40"/>
        </w:rPr>
        <w:t>Insurance Vertical — Website &amp; Channel Copy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Approved copy for the public site, landing pages, email and social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6168"/>
          <w:sz w:val="20"/>
        </w:rPr>
        <w:t>Version 1.0  ·  July 2026  ·  Subject to legal sign-off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Copy rules for this vertical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18" w:space="0" w:color="B23A48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B23A48"/>
                <w:sz w:val="20"/>
              </w:rPr>
              <w:t>Four things this vertical's copy must always do, and four it must never do.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B23A48"/>
                <w:sz w:val="20"/>
              </w:rPr>
              <w:t>ALWAYS: name the Insurance Ombudsman on any page aimed at a retail policyholder · state that it is free and needs no lawyer · state the one-year deadline · state that Equator is a private institution, not a government forum.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B23A48"/>
                <w:sz w:val="20"/>
              </w:rPr>
              <w:t>NEVER: imply that Equator replaces the Ombudsman or a court · predict what a claim is worth · say or imply that a claim will succeed · offer or suggest arbitration to a retail policyholder.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Home / hero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H1: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Your claim was rejected. That is not the end of it.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Sub: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Equator Resolution gets the claim file, breaks the decision down ground by ground, and gets the two sides to an agreement — usually in 30 to 45 days, and enforceable as a court decree.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CTA: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Check your options — free, 2 minutes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Trust line under the fold: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We are a private dispute-resolution institution, not a government forum. There is a free Insurance Ombudsman for insurance complaints, and we will always tell you about it and give you your deadline — including when it is the better route for you.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“How it works” section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Tell us what happened.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Two minutes, no account needed.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We tell you your options and your dates.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Including the free ones, and the one-year Ombudsman deadline.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We get the claim file.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The wording, the survey report, the computation sheet.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We break the decision down.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Every ground, every deduction, in its own row.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We mediate.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One to three sessions, online or in person.</w:t>
      </w:r>
    </w:p>
    <w:p>
      <w:pPr>
        <w:pStyle w:val="ListNumber"/>
        <w:spacing w:after="80"/>
      </w:pPr>
      <w:r>
        <w:rPr>
          <w:rFonts w:ascii="Calibri" w:hAnsi="Calibri" w:cs="Calibri"/>
          <w:b/>
          <w:i w:val="0"/>
          <w:color w:val="1B2A32"/>
          <w:sz w:val="22"/>
        </w:rPr>
        <w:t>You get a settlement that is enforceable as a decree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— and, where it matters, your policy back with continuity intact.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Landing page — health claims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H1: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They admitted the claim, then deducted half of it.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Body: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Room-rent proportionality, co-pay, sub-limits, consumables, “pre-existing disease”. Each of those is a separate decision, and each one has to be justified separately. We build a line-by-line schedule of every deduction — what was billed, what was allowed, on what clause, and whether that head of charge even varies with the room category. Insurers rarely get asked those questions one at a time.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Proof point: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Surgeon's fees and implants usually do not vary with the room you took. Ask why a proportionate deduction was applied to them.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Landing page — mis-selling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H1: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You thought you were opening a deposit. You bought a ten-year policy.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Body: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Since 2021 the Insurance Ombudsman can look at deficiency in service and at the conduct of agents, brokers and intermediaries — not just the insurer's claim decision. And a settlement can do things an award finds hard to: convert the product, make it paid-up, waive the future premiums, refund part and keep the cover. Bring the benefit illustration, the proposal form and your bank statement.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Landing page — insurers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H1: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Settle the settleable ones early.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Body: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Contested claims cost more than the claim. There is the award, the interest, the legal spend, the grievance metric and the time. Equator gives your claims and legal function a structured, auditable route to resolve disputes before they become Ombudsman awards — including </w:t>
      </w:r>
      <w:r>
        <w:rPr>
          <w:rFonts w:ascii="Calibri" w:hAnsi="Calibri" w:cs="Calibri"/>
          <w:b/>
          <w:i w:val="0"/>
          <w:color w:val="1B2A32"/>
          <w:sz w:val="22"/>
        </w:rPr>
        <w:t>batched settlement days</w:t>
      </w:r>
      <w:r>
        <w:rPr>
          <w:rFonts w:ascii="Calibri" w:hAnsi="Calibri" w:cs="Calibri"/>
          <w:b w:val="0"/>
          <w:i w:val="0"/>
          <w:color w:val="1B2A32"/>
          <w:sz w:val="22"/>
        </w:rPr>
        <w:t>, where one neutral resolves thirty small contested files against a settlement grid you agree in advance. Every outcome is documented as a settlement enforceable under section 27 of the Mediation Act, 2023, with a full audit trail.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Standing protocol with a single point of contact and agreed turnarounds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Claim-file production in 14 days; sessions within 21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Decree-grade settlements, registered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Quarterly reporting pack, including aggregate outcome statistics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Neutral rotation and published concentration limits, so the process is defensible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Landing page — business &amp; commercial policies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H1: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A quantum dispute should not take two years.</w:t>
      </w:r>
    </w:p>
    <w:p>
      <w:pPr>
        <w:spacing w:after="140"/>
      </w:pPr>
      <w:r>
        <w:rPr>
          <w:rFonts w:ascii="Calibri" w:hAnsi="Calibri" w:cs="Calibri"/>
          <w:b/>
          <w:i w:val="0"/>
          <w:color w:val="1B2A32"/>
          <w:sz w:val="22"/>
        </w:rPr>
        <w:t>Body:</w:t>
      </w:r>
      <w:r>
        <w:rPr>
          <w:rFonts w:ascii="Calibri" w:hAnsi="Calibri" w:cs="Calibri"/>
          <w:b w:val="0"/>
          <w:i w:val="0"/>
          <w:color w:val="1B2A32"/>
          <w:sz w:val="22"/>
        </w:rPr>
        <w:t xml:space="preserve">  Fire, marine, engineering and liability disputes are usually about a number, not a principle — the value at risk, the depreciation, the indemnity period, the rate of gross profit. Those settle. Where a separate arbitration agreement exists we can administer the arbitration; but mediation first is faster, cheaper and, in our experience of quantum disputes, usually sufficient.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Email — first response after an enquiry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Your insurance dispute — your options and the date that matters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Dear ______,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Thank you for getting in touch about your claim under policy ______.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Before anything else, three things you should know: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There is a free government forum for insurance complaints — the Insurance Ombudsman. There are 17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offices, you do not need a lawyer, it costs nothing, and an award binds the insurer up to ₹30 lakh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while leaving you free to go elsewhere if you are not satisfied.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To use it you must first complain to your insurer in writing and give them 30 days. Based on what you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have told us, your last date to file with the Ombudsman is ______. That date does not pause for any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reason, including for anything we do.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What we do is different. We obtain the claim file and the survey report, break the insurer's decision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down ground by ground, and try to get both sides to an agreement — usually in 30 to 45 days. 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settlement can include things an award cannot, such as reinstating your policy with your waiting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periods intact or removing an adverse remark from your record.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Using us does not affect your right to go to the Ombudsman, a consumer commission or a court.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next step is a short call. There is no fee for it and no obligation.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Regards,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Case Management Team, Equator Resolution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Social — short form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 xml:space="preserve">Most insurance complaints that fail at the Ombudsman fail on </w:t>
      </w:r>
      <w:r>
        <w:rPr>
          <w:rFonts w:ascii="Calibri" w:hAnsi="Calibri" w:cs="Calibri"/>
          <w:b/>
          <w:i w:val="0"/>
          <w:color w:val="1B2A32"/>
          <w:sz w:val="22"/>
        </w:rPr>
        <w:t>process</w:t>
      </w:r>
      <w:r>
        <w:rPr>
          <w:rFonts w:ascii="Calibri" w:hAnsi="Calibri" w:cs="Calibri"/>
          <w:b w:val="0"/>
          <w:i w:val="0"/>
          <w:color w:val="1B2A32"/>
          <w:sz w:val="22"/>
        </w:rPr>
        <w:t>, not on merits — no written representation, or the one-year window missed. Get the process right first.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Your health policy has run since 2019. The pre-existing-disease waiting period is 36 months. Ask why it was applied to your 2026 admission.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Since October 2023, retail insurance policies are not supposed to carry an arbitration clause. If yours does, it does not force you into arbitration.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Being asked to sign a full-and-final voucher for less than you claimed? Write “under protest, balance reserved” above your signature.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B2A32"/>
          <w:sz w:val="22"/>
        </w:rPr>
        <w:t>The Insurance Ombudsman is free, needs no lawyer, has 17 offices, and its award binds the insurer up to ₹30 lakh — but not you.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6"/>
        </w:rPr>
        <w:t>Disclaimers — use verbatim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18" w:space="0" w:color="C6A15B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23B4F"/>
                <w:sz w:val="20"/>
              </w:rPr>
              <w:t>Footer disclaimer (every page):</w:t>
            </w:r>
            <w:r>
              <w:rPr>
                <w:rFonts w:ascii="Calibri" w:hAnsi="Calibri" w:cs="Calibri"/>
                <w:b w:val="0"/>
                <w:i w:val="0"/>
                <w:color w:val="123B4F"/>
                <w:sz w:val="20"/>
              </w:rPr>
              <w:t xml:space="preserve">  Equator Resolution is a private dispute-resolution institution. It is not the Insurance Ombudsman, the Insurance Regulatory and Development Authority of India, a consumer commission or a court, and it does not provide legal advice or represent any party. Nothing on this site is a prediction of the outcome or value of any claim. Using Equator does not affect your right to approach the Insurance Ombudsman, a consumer commission or a court, and does not extend any limitation or filing period.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23B4F"/>
                <w:sz w:val="20"/>
              </w:rPr>
              <w:t>AI tool disclaimer:</w:t>
            </w:r>
            <w:r>
              <w:rPr>
                <w:rFonts w:ascii="Calibri" w:hAnsi="Calibri" w:cs="Calibri"/>
                <w:b w:val="0"/>
                <w:i w:val="0"/>
                <w:color w:val="123B4F"/>
                <w:sz w:val="20"/>
              </w:rPr>
              <w:t xml:space="preserve">  This tool explains options and deadlines. It does not give legal advice, does not assess whether a claim will succeed, and does not estimate what a claim is worth. A member of our team reviews anything it drafts before it is used.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1B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FDB136-DA55-4BA8-9809-6E4FCCDCBA5E}"/>
</file>

<file path=customXml/itemProps3.xml><?xml version="1.0" encoding="utf-8"?>
<ds:datastoreItem xmlns:ds="http://schemas.openxmlformats.org/officeDocument/2006/customXml" ds:itemID="{4AED5571-BBD4-4563-A259-0FE3CE9120CB}"/>
</file>

<file path=customXml/itemProps4.xml><?xml version="1.0" encoding="utf-8"?>
<ds:datastoreItem xmlns:ds="http://schemas.openxmlformats.org/officeDocument/2006/customXml" ds:itemID="{8268ACEF-6426-48D3-9575-86FC98F887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