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Equator Insurance Dispute Resolution Rules</w:t>
      </w:r>
    </w:p>
    <w:p>
      <w:pPr>
        <w:jc w:val="center"/>
      </w:pPr>
      <w:r>
        <w:rPr>
          <w:rFonts w:ascii="Calibri" w:hAnsi="Calibri"/>
          <w:b w:val="0"/>
          <w:i/>
          <w:color w:val="556168"/>
          <w:sz w:val="25"/>
        </w:rPr>
        <w:t>Mediation and conciliation of insurance disputes; arbitration of commercial-lines disputes</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Preamble</w:t>
      </w:r>
    </w:p>
    <w:p>
      <w:pPr>
        <w:spacing w:after="120"/>
        <w:jc w:val="both"/>
      </w:pPr>
      <w:r>
        <w:rPr>
          <w:rFonts w:ascii="Calibri" w:hAnsi="Calibri"/>
          <w:b w:val="0"/>
          <w:i w:val="0"/>
          <w:color w:val="1B2A32"/>
          <w:sz w:val="21"/>
        </w:rPr>
        <w:t xml:space="preserve">These Rules govern the administration by Equator Resolution of disputes arising out of contracts of insurance. They are made under the Mediation Act, 2023 and, so far as they relate to arbitration, the Arbitration and Conciliation Act, 1996. They take effect from </w:t>
      </w:r>
      <w:r>
        <w:rPr>
          <w:rFonts w:ascii="Calibri" w:hAnsi="Calibri"/>
          <w:b/>
          <w:i w:val="0"/>
          <w:color w:val="1B2A32"/>
          <w:sz w:val="21"/>
        </w:rPr>
        <w:t>1 August 2026</w:t>
      </w:r>
      <w:r>
        <w:rPr>
          <w:rFonts w:ascii="Calibri" w:hAnsi="Calibri"/>
          <w:b w:val="0"/>
          <w:i w:val="0"/>
          <w:color w:val="1B2A32"/>
          <w:sz w:val="21"/>
        </w:rPr>
        <w:t xml:space="preserve"> and apply to every matter registered on or after that date. </w:t>
      </w:r>
      <w:r>
        <w:rPr>
          <w:rFonts w:ascii="Calibri" w:hAnsi="Calibri"/>
          <w:b/>
          <w:i w:val="0"/>
          <w:color w:val="1B2A32"/>
          <w:sz w:val="21"/>
        </w:rPr>
        <w:t>[verify — commencement date on adoption]</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RULE 0 — THE OVERRIDING RULE</w:t>
            </w:r>
          </w:p>
          <w:p>
            <w:r>
              <w:rPr>
                <w:rFonts w:ascii="Calibri" w:hAnsi="Calibri"/>
                <w:b w:val="0"/>
                <w:i w:val="0"/>
                <w:color w:val="1B2A32"/>
                <w:sz w:val="19"/>
              </w:rPr>
              <w:t>Nothing in these Rules, and nothing done under them, shall prejudice or delay a party's right to approach the insurer's grievance redressal officer, the Insurance Ombudsman, the Insurance Regulatory and Development Authority of India, a consumer commission, a Motor Accidents Claims Tribunal or a civil court. Where a rule admits of two readings, the reading that better preserves those rights prevails.</w:t>
            </w:r>
          </w:p>
        </w:tc>
      </w:tr>
    </w:tbl>
    <w:p>
      <w:pPr>
        <w:spacing w:after="40"/>
      </w:pPr>
    </w:p>
    <w:p>
      <w:pPr>
        <w:keepNext/>
        <w:spacing w:before="280" w:after="120"/>
        <w:pBdr>
          <w:bottom w:val="single" w:sz="12" w:space="3" w:color="C6A15B"/>
        </w:pBdr>
      </w:pPr>
      <w:r>
        <w:rPr>
          <w:rFonts w:ascii="Calibri" w:hAnsi="Calibri"/>
          <w:b/>
          <w:i w:val="0"/>
          <w:color w:val="123B4F"/>
          <w:sz w:val="32"/>
        </w:rPr>
        <w:t>1.  Part I — Scope, definitions and interpretation</w:t>
      </w:r>
    </w:p>
    <w:p>
      <w:pPr>
        <w:keepNext/>
        <w:spacing w:before="200" w:after="60"/>
      </w:pPr>
      <w:r>
        <w:rPr>
          <w:rFonts w:ascii="Calibri" w:hAnsi="Calibri"/>
          <w:b/>
          <w:i w:val="0"/>
          <w:color w:val="1E7A8C"/>
          <w:sz w:val="25"/>
        </w:rPr>
        <w:t>1.1  Rule 1  Scope</w:t>
      </w:r>
    </w:p>
    <w:p>
      <w:pPr>
        <w:pStyle w:val="ListNumber"/>
        <w:spacing w:after="60"/>
        <w:jc w:val="both"/>
      </w:pPr>
      <w:r>
        <w:rPr>
          <w:rFonts w:ascii="Calibri" w:hAnsi="Calibri"/>
          <w:b w:val="0"/>
          <w:i w:val="0"/>
          <w:color w:val="1B2A32"/>
          <w:sz w:val="21"/>
        </w:rPr>
        <w:t>These Rules apply to any dispute between a policyholder, claimant, nominee, legal heir or assignee on the one hand and an insurer, its agent, broker or other intermediary on the other, arising out of or in connection with a contract of insurance.</w:t>
      </w:r>
    </w:p>
    <w:p>
      <w:pPr>
        <w:pStyle w:val="ListNumber"/>
        <w:spacing w:after="60"/>
        <w:jc w:val="both"/>
      </w:pPr>
      <w:r>
        <w:rPr>
          <w:rFonts w:ascii="Calibri" w:hAnsi="Calibri"/>
          <w:b w:val="0"/>
          <w:i w:val="0"/>
          <w:color w:val="1B2A32"/>
          <w:sz w:val="21"/>
        </w:rPr>
        <w:t xml:space="preserve">They apply to mediation and conciliation in every case, and to arbitration </w:t>
      </w:r>
      <w:r>
        <w:rPr>
          <w:rFonts w:ascii="Calibri" w:hAnsi="Calibri"/>
          <w:b/>
          <w:i w:val="0"/>
          <w:color w:val="1B2A32"/>
          <w:sz w:val="21"/>
        </w:rPr>
        <w:t>only</w:t>
      </w:r>
      <w:r>
        <w:rPr>
          <w:rFonts w:ascii="Calibri" w:hAnsi="Calibri"/>
          <w:b w:val="0"/>
          <w:i w:val="0"/>
          <w:color w:val="1B2A32"/>
          <w:sz w:val="21"/>
        </w:rPr>
        <w:t xml:space="preserve"> where the policy is a commercial policy and the parties have separately and mutually entered into an arbitration agreement.</w:t>
      </w:r>
    </w:p>
    <w:p>
      <w:pPr>
        <w:pStyle w:val="ListNumber"/>
        <w:spacing w:after="60"/>
        <w:jc w:val="both"/>
      </w:pPr>
      <w:r>
        <w:rPr>
          <w:rFonts w:ascii="Calibri" w:hAnsi="Calibri"/>
          <w:b w:val="0"/>
          <w:i w:val="0"/>
          <w:color w:val="1B2A32"/>
          <w:sz w:val="21"/>
        </w:rPr>
        <w:t>They do not apply to a claim for compensation for third-party injury or death arising out of the use of a motor vehicle, which lies before the Motor Accidents Claims Tribunal; nor to any matter in which an insurer alleges fabrication of documents or a staged loss, save as Rule 12 permits.</w:t>
      </w:r>
    </w:p>
    <w:p>
      <w:pPr>
        <w:keepNext/>
        <w:spacing w:before="200" w:after="60"/>
      </w:pPr>
      <w:r>
        <w:rPr>
          <w:rFonts w:ascii="Calibri" w:hAnsi="Calibri"/>
          <w:b/>
          <w:i w:val="0"/>
          <w:color w:val="1E7A8C"/>
          <w:sz w:val="25"/>
        </w:rPr>
        <w:t>1.2  Rule 2  Definitions</w:t>
      </w:r>
    </w:p>
    <w:tbl>
      <w:tblPr>
        <w:tblStyle w:val="TableGrid"/>
        <w:tblW w:type="auto" w:w="0"/>
        <w:jc w:val="center"/>
        <w:tblLook w:firstColumn="1" w:firstRow="1" w:lastColumn="0" w:lastRow="0" w:noHBand="0" w:noVBand="1" w:val="04A0"/>
      </w:tblPr>
      <w:tblGrid>
        <w:gridCol w:w="4752"/>
        <w:gridCol w:w="4752"/>
      </w:tblGrid>
      <w:tr>
        <w:tc>
          <w:tcPr>
            <w:tcW w:type="dxa" w:w="31680"/>
            <w:shd w:val="clear" w:fill="123B4F"/>
          </w:tcPr>
          <w:p>
            <w:r/>
            <w:r>
              <w:rPr>
                <w:rFonts w:ascii="Calibri" w:hAnsi="Calibri"/>
                <w:b/>
                <w:i w:val="0"/>
                <w:color w:val="FFFFFF"/>
                <w:sz w:val="18"/>
              </w:rPr>
              <w:t>Term</w:t>
            </w:r>
          </w:p>
        </w:tc>
        <w:tc>
          <w:tcPr>
            <w:tcW w:type="dxa" w:w="112320"/>
            <w:shd w:val="clear" w:fill="123B4F"/>
          </w:tcPr>
          <w:p>
            <w:r/>
            <w:r>
              <w:rPr>
                <w:rFonts w:ascii="Calibri" w:hAnsi="Calibri"/>
                <w:b/>
                <w:i w:val="0"/>
                <w:color w:val="FFFFFF"/>
                <w:sz w:val="18"/>
              </w:rPr>
              <w:t>Meaning</w:t>
            </w:r>
          </w:p>
        </w:tc>
      </w:tr>
      <w:tr>
        <w:tc>
          <w:tcPr>
            <w:tcW w:type="dxa" w:w="31680"/>
          </w:tcPr>
          <w:p>
            <w:r/>
            <w:r>
              <w:rPr>
                <w:rFonts w:ascii="Calibri" w:hAnsi="Calibri"/>
                <w:b/>
                <w:i w:val="0"/>
                <w:color w:val="1B2A32"/>
                <w:sz w:val="18"/>
              </w:rPr>
              <w:t>Retail policy</w:t>
            </w:r>
          </w:p>
        </w:tc>
        <w:tc>
          <w:tcPr>
            <w:tcW w:type="dxa" w:w="112320"/>
          </w:tcPr>
          <w:p>
            <w:r/>
            <w:r>
              <w:rPr>
                <w:rFonts w:ascii="Calibri" w:hAnsi="Calibri"/>
                <w:b w:val="0"/>
                <w:i w:val="0"/>
                <w:color w:val="1B2A32"/>
                <w:sz w:val="18"/>
              </w:rPr>
              <w:t>A policy of insurance taken by an individual, or for the benefit of an individual or family, for personal cover — including personal health, motor, life, home, travel and personal accident cover</w:t>
            </w:r>
          </w:p>
        </w:tc>
      </w:tr>
      <w:tr>
        <w:tc>
          <w:tcPr>
            <w:tcW w:type="dxa" w:w="31680"/>
            <w:shd w:val="clear" w:fill="F3F7F9"/>
          </w:tcPr>
          <w:p>
            <w:r/>
            <w:r>
              <w:rPr>
                <w:rFonts w:ascii="Calibri" w:hAnsi="Calibri"/>
                <w:b/>
                <w:i w:val="0"/>
                <w:color w:val="1B2A32"/>
                <w:sz w:val="18"/>
              </w:rPr>
              <w:t>Commercial policy</w:t>
            </w:r>
          </w:p>
        </w:tc>
        <w:tc>
          <w:tcPr>
            <w:tcW w:type="dxa" w:w="112320"/>
            <w:shd w:val="clear" w:fill="F3F7F9"/>
          </w:tcPr>
          <w:p>
            <w:r/>
            <w:r>
              <w:rPr>
                <w:rFonts w:ascii="Calibri" w:hAnsi="Calibri"/>
                <w:b w:val="0"/>
                <w:i w:val="0"/>
                <w:color w:val="1B2A32"/>
                <w:sz w:val="18"/>
              </w:rPr>
              <w:t>A policy taken by a company, firm, limited liability partnership, trust or other entity in respect of its business risks</w:t>
            </w:r>
          </w:p>
        </w:tc>
      </w:tr>
      <w:tr>
        <w:tc>
          <w:tcPr>
            <w:tcW w:type="dxa" w:w="31680"/>
          </w:tcPr>
          <w:p>
            <w:r/>
            <w:r>
              <w:rPr>
                <w:rFonts w:ascii="Calibri" w:hAnsi="Calibri"/>
                <w:b/>
                <w:i w:val="0"/>
                <w:color w:val="1B2A32"/>
                <w:sz w:val="18"/>
              </w:rPr>
              <w:t>The Ombudsman</w:t>
            </w:r>
          </w:p>
        </w:tc>
        <w:tc>
          <w:tcPr>
            <w:tcW w:type="dxa" w:w="112320"/>
          </w:tcPr>
          <w:p>
            <w:r/>
            <w:r>
              <w:rPr>
                <w:rFonts w:ascii="Calibri" w:hAnsi="Calibri"/>
                <w:b w:val="0"/>
                <w:i w:val="0"/>
                <w:color w:val="1B2A32"/>
                <w:sz w:val="18"/>
              </w:rPr>
              <w:t>The Insurance Ombudsman appointed under the Insurance Ombudsman Rules, 2017</w:t>
            </w:r>
          </w:p>
        </w:tc>
      </w:tr>
      <w:tr>
        <w:tc>
          <w:tcPr>
            <w:tcW w:type="dxa" w:w="31680"/>
            <w:shd w:val="clear" w:fill="F3F7F9"/>
          </w:tcPr>
          <w:p>
            <w:r/>
            <w:r>
              <w:rPr>
                <w:rFonts w:ascii="Calibri" w:hAnsi="Calibri"/>
                <w:b/>
                <w:i w:val="0"/>
                <w:color w:val="1B2A32"/>
                <w:sz w:val="18"/>
              </w:rPr>
              <w:t>Clock</w:t>
            </w:r>
          </w:p>
        </w:tc>
        <w:tc>
          <w:tcPr>
            <w:tcW w:type="dxa" w:w="112320"/>
            <w:shd w:val="clear" w:fill="F3F7F9"/>
          </w:tcPr>
          <w:p>
            <w:r/>
            <w:r>
              <w:rPr>
                <w:rFonts w:ascii="Calibri" w:hAnsi="Calibri"/>
                <w:b w:val="0"/>
                <w:i w:val="0"/>
                <w:color w:val="1B2A32"/>
                <w:sz w:val="18"/>
              </w:rPr>
              <w:t>Any period of limitation, filing window or contractual time bar applicable to a party's remedies, as recorded on the clock table</w:t>
            </w:r>
          </w:p>
        </w:tc>
      </w:tr>
      <w:tr>
        <w:tc>
          <w:tcPr>
            <w:tcW w:type="dxa" w:w="31680"/>
          </w:tcPr>
          <w:p>
            <w:r/>
            <w:r>
              <w:rPr>
                <w:rFonts w:ascii="Calibri" w:hAnsi="Calibri"/>
                <w:b/>
                <w:i w:val="0"/>
                <w:color w:val="1B2A32"/>
                <w:sz w:val="18"/>
              </w:rPr>
              <w:t>Signposting</w:t>
            </w:r>
          </w:p>
        </w:tc>
        <w:tc>
          <w:tcPr>
            <w:tcW w:type="dxa" w:w="112320"/>
          </w:tcPr>
          <w:p>
            <w:r/>
            <w:r>
              <w:rPr>
                <w:rFonts w:ascii="Calibri" w:hAnsi="Calibri"/>
                <w:b w:val="0"/>
                <w:i w:val="0"/>
                <w:color w:val="1B2A32"/>
                <w:sz w:val="18"/>
              </w:rPr>
              <w:t>The written and oral communication to a party of the forums available to it, what each may do, what each costs, and the last date on which the party may act</w:t>
            </w:r>
          </w:p>
        </w:tc>
      </w:tr>
      <w:tr>
        <w:tc>
          <w:tcPr>
            <w:tcW w:type="dxa" w:w="31680"/>
            <w:shd w:val="clear" w:fill="F3F7F9"/>
          </w:tcPr>
          <w:p>
            <w:r/>
            <w:r>
              <w:rPr>
                <w:rFonts w:ascii="Calibri" w:hAnsi="Calibri"/>
                <w:b/>
                <w:i w:val="0"/>
                <w:color w:val="1B2A32"/>
                <w:sz w:val="18"/>
              </w:rPr>
              <w:t>Neutral</w:t>
            </w:r>
          </w:p>
        </w:tc>
        <w:tc>
          <w:tcPr>
            <w:tcW w:type="dxa" w:w="112320"/>
            <w:shd w:val="clear" w:fill="F3F7F9"/>
          </w:tcPr>
          <w:p>
            <w:r/>
            <w:r>
              <w:rPr>
                <w:rFonts w:ascii="Calibri" w:hAnsi="Calibri"/>
                <w:b w:val="0"/>
                <w:i w:val="0"/>
                <w:color w:val="1B2A32"/>
                <w:sz w:val="18"/>
              </w:rPr>
              <w:t>A mediator, conciliator or arbitrator appointed under these Rules</w:t>
            </w:r>
          </w:p>
        </w:tc>
      </w:tr>
      <w:tr>
        <w:tc>
          <w:tcPr>
            <w:tcW w:type="dxa" w:w="31680"/>
          </w:tcPr>
          <w:p>
            <w:r/>
            <w:r>
              <w:rPr>
                <w:rFonts w:ascii="Calibri" w:hAnsi="Calibri"/>
                <w:b/>
                <w:i w:val="0"/>
                <w:color w:val="1B2A32"/>
                <w:sz w:val="18"/>
              </w:rPr>
              <w:t>Registrar</w:t>
            </w:r>
          </w:p>
        </w:tc>
        <w:tc>
          <w:tcPr>
            <w:tcW w:type="dxa" w:w="112320"/>
          </w:tcPr>
          <w:p>
            <w:r/>
            <w:r>
              <w:rPr>
                <w:rFonts w:ascii="Calibri" w:hAnsi="Calibri"/>
                <w:b w:val="0"/>
                <w:i w:val="0"/>
                <w:color w:val="1B2A32"/>
                <w:sz w:val="18"/>
              </w:rPr>
              <w:t>The officer of Equator Resolution responsible for the administration of cases</w:t>
            </w:r>
          </w:p>
        </w:tc>
      </w:tr>
    </w:tbl>
    <w:p>
      <w:pPr>
        <w:spacing w:after="40"/>
      </w:pPr>
    </w:p>
    <w:p>
      <w:pPr>
        <w:keepNext/>
        <w:spacing w:before="280" w:after="120"/>
        <w:pBdr>
          <w:bottom w:val="single" w:sz="12" w:space="3" w:color="C6A15B"/>
        </w:pBdr>
      </w:pPr>
      <w:r>
        <w:rPr>
          <w:rFonts w:ascii="Calibri" w:hAnsi="Calibri"/>
          <w:b/>
          <w:i w:val="0"/>
          <w:color w:val="123B4F"/>
          <w:sz w:val="32"/>
        </w:rPr>
        <w:t>2.  Part II — Commencement, triage and the protection of rights</w:t>
      </w:r>
    </w:p>
    <w:p>
      <w:pPr>
        <w:keepNext/>
        <w:spacing w:before="200" w:after="60"/>
      </w:pPr>
      <w:r>
        <w:rPr>
          <w:rFonts w:ascii="Calibri" w:hAnsi="Calibri"/>
          <w:b/>
          <w:i w:val="0"/>
          <w:color w:val="1E7A8C"/>
          <w:sz w:val="25"/>
        </w:rPr>
        <w:t>2.1  Rule 3  Commencement</w:t>
      </w:r>
    </w:p>
    <w:p>
      <w:pPr>
        <w:pStyle w:val="ListNumber"/>
        <w:spacing w:after="60"/>
        <w:jc w:val="both"/>
      </w:pPr>
      <w:r>
        <w:rPr>
          <w:rFonts w:ascii="Calibri" w:hAnsi="Calibri"/>
          <w:b w:val="0"/>
          <w:i w:val="0"/>
          <w:color w:val="1B2A32"/>
          <w:sz w:val="21"/>
        </w:rPr>
        <w:t>A matter is commenced by filing a Request for Resolution in Form F-I02 with the registration fee.</w:t>
      </w:r>
    </w:p>
    <w:p>
      <w:pPr>
        <w:pStyle w:val="ListNumber"/>
        <w:spacing w:after="60"/>
        <w:jc w:val="both"/>
      </w:pPr>
      <w:r>
        <w:rPr>
          <w:rFonts w:ascii="Calibri" w:hAnsi="Calibri"/>
          <w:b w:val="0"/>
          <w:i w:val="0"/>
          <w:color w:val="1B2A32"/>
          <w:sz w:val="21"/>
        </w:rPr>
        <w:t>The Registrar shall register the matter and allot a case number within one working day.</w:t>
      </w:r>
    </w:p>
    <w:p>
      <w:pPr>
        <w:pStyle w:val="ListNumber"/>
        <w:spacing w:after="60"/>
        <w:jc w:val="both"/>
      </w:pPr>
      <w:r>
        <w:rPr>
          <w:rFonts w:ascii="Calibri" w:hAnsi="Calibri"/>
          <w:b w:val="0"/>
          <w:i w:val="0"/>
          <w:color w:val="1B2A32"/>
          <w:sz w:val="21"/>
        </w:rPr>
        <w:t>Registration is not a finding on the merits and confers no view on any party's claim.</w:t>
      </w:r>
    </w:p>
    <w:p>
      <w:pPr>
        <w:keepNext/>
        <w:spacing w:before="200" w:after="60"/>
      </w:pPr>
      <w:r>
        <w:rPr>
          <w:rFonts w:ascii="Calibri" w:hAnsi="Calibri"/>
          <w:b/>
          <w:i w:val="0"/>
          <w:color w:val="1E7A8C"/>
          <w:sz w:val="25"/>
        </w:rPr>
        <w:t>2.2  Rule 4  Mandatory signposting</w:t>
      </w:r>
    </w:p>
    <w:p>
      <w:pPr>
        <w:pStyle w:val="ListNumber"/>
        <w:spacing w:after="60"/>
        <w:jc w:val="both"/>
      </w:pPr>
      <w:r>
        <w:rPr>
          <w:rFonts w:ascii="Calibri" w:hAnsi="Calibri"/>
          <w:b w:val="0"/>
          <w:i w:val="0"/>
          <w:color w:val="1B2A32"/>
          <w:sz w:val="21"/>
        </w:rPr>
        <w:t>Before any other step, the Registrar shall deliver to each party, in a language that party understands, the standing signposting script, and shall record the delivery on the case file.</w:t>
      </w:r>
    </w:p>
    <w:p>
      <w:pPr>
        <w:pStyle w:val="ListNumber"/>
        <w:spacing w:after="60"/>
        <w:jc w:val="both"/>
      </w:pPr>
      <w:r>
        <w:rPr>
          <w:rFonts w:ascii="Calibri" w:hAnsi="Calibri"/>
          <w:b w:val="0"/>
          <w:i w:val="0"/>
          <w:color w:val="1B2A32"/>
          <w:sz w:val="21"/>
        </w:rPr>
        <w:t>The signposting shall state expressly that the Insurance Ombudsman is a free statutory forum, that no lawyer is required, that Equator is not that forum, and that using Equator does not extend any clock.</w:t>
      </w:r>
    </w:p>
    <w:p>
      <w:pPr>
        <w:pStyle w:val="ListNumber"/>
        <w:spacing w:after="60"/>
        <w:jc w:val="both"/>
      </w:pPr>
      <w:r>
        <w:rPr>
          <w:rFonts w:ascii="Calibri" w:hAnsi="Calibri"/>
          <w:b w:val="0"/>
          <w:i w:val="0"/>
          <w:color w:val="1B2A32"/>
          <w:sz w:val="21"/>
        </w:rPr>
        <w:t>No matter may proceed beyond triage until the signposting has been delivered and recorded.</w:t>
      </w:r>
    </w:p>
    <w:p>
      <w:pPr>
        <w:keepNext/>
        <w:spacing w:before="200" w:after="60"/>
      </w:pPr>
      <w:r>
        <w:rPr>
          <w:rFonts w:ascii="Calibri" w:hAnsi="Calibri"/>
          <w:b/>
          <w:i w:val="0"/>
          <w:color w:val="1E7A8C"/>
          <w:sz w:val="25"/>
        </w:rPr>
        <w:t>2.3  Rule 5  Retail or commercial</w:t>
      </w:r>
    </w:p>
    <w:p>
      <w:pPr>
        <w:pStyle w:val="ListNumber"/>
        <w:spacing w:after="60"/>
        <w:jc w:val="both"/>
      </w:pPr>
      <w:r>
        <w:rPr>
          <w:rFonts w:ascii="Calibri" w:hAnsi="Calibri"/>
          <w:b w:val="0"/>
          <w:i w:val="0"/>
          <w:color w:val="1B2A32"/>
          <w:sz w:val="21"/>
        </w:rPr>
        <w:t>At triage the Registrar shall classify the policy as retail or commercial, and a second officer shall review and initial the classification.</w:t>
      </w:r>
    </w:p>
    <w:p>
      <w:pPr>
        <w:pStyle w:val="ListNumber"/>
        <w:spacing w:after="60"/>
        <w:jc w:val="both"/>
      </w:pPr>
      <w:r>
        <w:rPr>
          <w:rFonts w:ascii="Calibri" w:hAnsi="Calibri"/>
          <w:b/>
          <w:i w:val="0"/>
          <w:color w:val="1B2A32"/>
          <w:sz w:val="21"/>
        </w:rPr>
        <w:t>Where the policy is retail, no arbitration shall be administered under these Rules, and the existence of an arbitration clause in the policy shall not be treated as a bar to any other remedy.</w:t>
      </w:r>
      <w:r>
        <w:rPr>
          <w:rFonts w:ascii="Calibri" w:hAnsi="Calibri"/>
          <w:b w:val="0"/>
          <w:i w:val="0"/>
          <w:color w:val="1B2A32"/>
          <w:sz w:val="21"/>
        </w:rPr>
        <w:t xml:space="preserve"> The Registrar shall record the existence of any such clause and shall inform the parties of the IRDAI circular dated 27 October 2023.</w:t>
      </w:r>
    </w:p>
    <w:p>
      <w:pPr>
        <w:pStyle w:val="ListNumber"/>
        <w:spacing w:after="60"/>
        <w:jc w:val="both"/>
      </w:pPr>
      <w:r>
        <w:rPr>
          <w:rFonts w:ascii="Calibri" w:hAnsi="Calibri"/>
          <w:b w:val="0"/>
          <w:i w:val="0"/>
          <w:color w:val="1B2A32"/>
          <w:sz w:val="21"/>
        </w:rPr>
        <w:t>Where the policy is commercial, arbitration may be administered only on production of a separate arbitration agreement, mutually entered into, covering any and all disputes.</w:t>
      </w:r>
    </w:p>
    <w:p>
      <w:pPr>
        <w:keepNext/>
        <w:spacing w:before="200" w:after="60"/>
      </w:pPr>
      <w:r>
        <w:rPr>
          <w:rFonts w:ascii="Calibri" w:hAnsi="Calibri"/>
          <w:b/>
          <w:i w:val="0"/>
          <w:color w:val="1E7A8C"/>
          <w:sz w:val="25"/>
        </w:rPr>
        <w:t>2.4  Rule 6  The clock table</w:t>
      </w:r>
    </w:p>
    <w:p>
      <w:pPr>
        <w:pStyle w:val="ListNumber"/>
        <w:spacing w:after="60"/>
        <w:jc w:val="both"/>
      </w:pPr>
      <w:r>
        <w:rPr>
          <w:rFonts w:ascii="Calibri" w:hAnsi="Calibri"/>
          <w:b w:val="0"/>
          <w:i w:val="0"/>
          <w:color w:val="1B2A32"/>
          <w:sz w:val="21"/>
        </w:rPr>
        <w:t>At triage the Registrar shall prepare a clock table recording, for every applicable clock, the trigger date, the period, the expiry date and a named owner.</w:t>
      </w:r>
    </w:p>
    <w:p>
      <w:pPr>
        <w:pStyle w:val="ListNumber"/>
        <w:spacing w:after="60"/>
        <w:jc w:val="both"/>
      </w:pPr>
      <w:r>
        <w:rPr>
          <w:rFonts w:ascii="Calibri" w:hAnsi="Calibri"/>
          <w:b w:val="0"/>
          <w:i w:val="0"/>
          <w:color w:val="1B2A32"/>
          <w:sz w:val="21"/>
        </w:rPr>
        <w:t>A copy shall be given to each party in writing.</w:t>
      </w:r>
    </w:p>
    <w:p>
      <w:pPr>
        <w:pStyle w:val="ListNumber"/>
        <w:spacing w:after="60"/>
        <w:jc w:val="both"/>
      </w:pPr>
      <w:r>
        <w:rPr>
          <w:rFonts w:ascii="Calibri" w:hAnsi="Calibri"/>
          <w:b w:val="0"/>
          <w:i w:val="0"/>
          <w:color w:val="1B2A32"/>
          <w:sz w:val="21"/>
        </w:rPr>
        <w:t>Where any clock is due to expire within sixty days and the matter has not settled, the Registrar shall prompt the party in writing to take the step necessary to preserve the remedy, and shall record having done so.</w:t>
      </w:r>
    </w:p>
    <w:p>
      <w:pPr>
        <w:pStyle w:val="ListNumber"/>
        <w:spacing w:after="60"/>
        <w:jc w:val="both"/>
      </w:pPr>
      <w:r>
        <w:rPr>
          <w:rFonts w:ascii="Calibri" w:hAnsi="Calibri"/>
          <w:b/>
          <w:i w:val="0"/>
          <w:color w:val="1B2A32"/>
          <w:sz w:val="21"/>
        </w:rPr>
        <w:t>No matter shall be closed while any clock is without an owner, and no matter shall be closed without a completed signposting table in Form F-I19.</w:t>
      </w:r>
    </w:p>
    <w:p>
      <w:pPr>
        <w:keepNext/>
        <w:spacing w:before="200" w:after="60"/>
      </w:pPr>
      <w:r>
        <w:rPr>
          <w:rFonts w:ascii="Calibri" w:hAnsi="Calibri"/>
          <w:b/>
          <w:i w:val="0"/>
          <w:color w:val="1E7A8C"/>
          <w:sz w:val="25"/>
        </w:rPr>
        <w:t>2.5  Rule 7  Suitability</w:t>
      </w:r>
    </w:p>
    <w:p>
      <w:pPr>
        <w:pStyle w:val="ListNumber"/>
        <w:spacing w:after="60"/>
        <w:jc w:val="both"/>
      </w:pPr>
      <w:r>
        <w:rPr>
          <w:rFonts w:ascii="Calibri" w:hAnsi="Calibri"/>
          <w:b w:val="0"/>
          <w:i w:val="0"/>
          <w:color w:val="1B2A32"/>
          <w:sz w:val="21"/>
        </w:rPr>
        <w:t>The Registrar shall assess whether the matter is suitable for mediation, and shall record any safeguards required for a vulnerable party, including a support person, an interpreter, shorter sessions or shuttle mediation.</w:t>
      </w:r>
    </w:p>
    <w:p>
      <w:pPr>
        <w:pStyle w:val="ListNumber"/>
        <w:spacing w:after="60"/>
        <w:jc w:val="both"/>
      </w:pPr>
      <w:r>
        <w:rPr>
          <w:rFonts w:ascii="Calibri" w:hAnsi="Calibri"/>
          <w:b w:val="0"/>
          <w:i w:val="0"/>
          <w:color w:val="1B2A32"/>
          <w:sz w:val="21"/>
        </w:rPr>
        <w:t>Where a matter is assessed as unsuitable, the party shall be signposted to the appropriate forum, with dates. A matter is never declined without a route.</w:t>
      </w:r>
    </w:p>
    <w:p>
      <w:pPr>
        <w:keepNext/>
        <w:spacing w:before="280" w:after="120"/>
        <w:pBdr>
          <w:bottom w:val="single" w:sz="12" w:space="3" w:color="C6A15B"/>
        </w:pBdr>
      </w:pPr>
      <w:r>
        <w:rPr>
          <w:rFonts w:ascii="Calibri" w:hAnsi="Calibri"/>
          <w:b/>
          <w:i w:val="0"/>
          <w:color w:val="123B4F"/>
          <w:sz w:val="32"/>
        </w:rPr>
        <w:t>3.  Part III — Notice, participation and production</w:t>
      </w:r>
    </w:p>
    <w:p>
      <w:pPr>
        <w:keepNext/>
        <w:spacing w:before="200" w:after="60"/>
      </w:pPr>
      <w:r>
        <w:rPr>
          <w:rFonts w:ascii="Calibri" w:hAnsi="Calibri"/>
          <w:b/>
          <w:i w:val="0"/>
          <w:color w:val="1E7A8C"/>
          <w:sz w:val="25"/>
        </w:rPr>
        <w:t>3.1  Rule 8  Notice</w:t>
      </w:r>
    </w:p>
    <w:p>
      <w:pPr>
        <w:spacing w:after="120"/>
        <w:jc w:val="both"/>
      </w:pPr>
      <w:r>
        <w:rPr>
          <w:rFonts w:ascii="Calibri" w:hAnsi="Calibri"/>
          <w:b w:val="0"/>
          <w:i w:val="0"/>
          <w:color w:val="1B2A32"/>
          <w:sz w:val="21"/>
        </w:rPr>
        <w:t>The Registrar shall issue notice in Form F-I03 within three working days of triage, calling for a Response in Form F-I06 within fourteen days.</w:t>
      </w:r>
    </w:p>
    <w:p>
      <w:pPr>
        <w:keepNext/>
        <w:spacing w:before="200" w:after="60"/>
      </w:pPr>
      <w:r>
        <w:rPr>
          <w:rFonts w:ascii="Calibri" w:hAnsi="Calibri"/>
          <w:b/>
          <w:i w:val="0"/>
          <w:color w:val="1E7A8C"/>
          <w:sz w:val="25"/>
        </w:rPr>
        <w:t>3.2  Rule 9  Production of the claim file</w:t>
      </w:r>
    </w:p>
    <w:p>
      <w:pPr>
        <w:pStyle w:val="ListNumber"/>
        <w:spacing w:after="60"/>
        <w:jc w:val="both"/>
      </w:pPr>
      <w:r>
        <w:rPr>
          <w:rFonts w:ascii="Calibri" w:hAnsi="Calibri"/>
          <w:b w:val="0"/>
          <w:i w:val="0"/>
          <w:color w:val="1B2A32"/>
          <w:sz w:val="21"/>
        </w:rPr>
        <w:t>The insurer shall produce, within fourteen days: the policy schedule and wordings as at the date of loss; the proposal form; the repudiation, computation or short-settlement letter; and any survey, investigation or third-party administrator report relied upon in deciding the claim.</w:t>
      </w:r>
    </w:p>
    <w:p>
      <w:pPr>
        <w:pStyle w:val="ListNumber"/>
        <w:spacing w:after="60"/>
        <w:jc w:val="both"/>
      </w:pPr>
      <w:r>
        <w:rPr>
          <w:rFonts w:ascii="Calibri" w:hAnsi="Calibri"/>
          <w:b w:val="0"/>
          <w:i w:val="0"/>
          <w:color w:val="1B2A32"/>
          <w:sz w:val="21"/>
        </w:rPr>
        <w:t>Where a report relied upon is not produced, the Registrar shall record the fact on the file and shall inform the neutral. The neutral may draw no inference as to the merits, but may note the non-production.</w:t>
      </w:r>
    </w:p>
    <w:p>
      <w:pPr>
        <w:pStyle w:val="ListNumber"/>
        <w:spacing w:after="60"/>
        <w:jc w:val="both"/>
      </w:pPr>
      <w:r>
        <w:rPr>
          <w:rFonts w:ascii="Calibri" w:hAnsi="Calibri"/>
          <w:b w:val="0"/>
          <w:i w:val="0"/>
          <w:color w:val="1B2A32"/>
          <w:sz w:val="21"/>
        </w:rPr>
        <w:t>A party may withhold a document only on a stated ground of privilege or statutory confidentiality, which shall be recorded.</w:t>
      </w:r>
    </w:p>
    <w:p>
      <w:pPr>
        <w:keepNext/>
        <w:spacing w:before="200" w:after="60"/>
      </w:pPr>
      <w:r>
        <w:rPr>
          <w:rFonts w:ascii="Calibri" w:hAnsi="Calibri"/>
          <w:b/>
          <w:i w:val="0"/>
          <w:color w:val="1E7A8C"/>
          <w:sz w:val="25"/>
        </w:rPr>
        <w:t>3.3  Rule 10  Authority to settle</w:t>
      </w:r>
    </w:p>
    <w:p>
      <w:pPr>
        <w:spacing w:after="120"/>
        <w:jc w:val="both"/>
      </w:pPr>
      <w:r>
        <w:rPr>
          <w:rFonts w:ascii="Calibri" w:hAnsi="Calibri"/>
          <w:b w:val="0"/>
          <w:i w:val="0"/>
          <w:color w:val="1B2A32"/>
          <w:sz w:val="21"/>
        </w:rPr>
        <w:t>No session shall be convened unless the insurer has confirmed in writing the identity and designation of the officer attending, that officer's settlement authority, and — where approval beyond that authority may be required — the approver and the turnaround. Where a co-insurer or reinsurer must concur, that shall be disclosed before the session.</w:t>
      </w:r>
    </w:p>
    <w:p>
      <w:pPr>
        <w:keepNext/>
        <w:spacing w:before="200" w:after="60"/>
      </w:pPr>
      <w:r>
        <w:rPr>
          <w:rFonts w:ascii="Calibri" w:hAnsi="Calibri"/>
          <w:b/>
          <w:i w:val="0"/>
          <w:color w:val="1E7A8C"/>
          <w:sz w:val="25"/>
        </w:rPr>
        <w:t>3.4  Rule 11  Non-participation</w:t>
      </w:r>
    </w:p>
    <w:p>
      <w:pPr>
        <w:spacing w:after="120"/>
        <w:jc w:val="both"/>
      </w:pPr>
      <w:r>
        <w:rPr>
          <w:rFonts w:ascii="Calibri" w:hAnsi="Calibri"/>
          <w:b w:val="0"/>
          <w:i w:val="0"/>
          <w:color w:val="1B2A32"/>
          <w:sz w:val="21"/>
        </w:rPr>
        <w:t>If a party does not respond within fourteen days, or declines to participate, the Registrar shall issue a Non-Commencement and Signposting Report in Form F-I19, recording only the fact and dates of the process.</w:t>
      </w:r>
    </w:p>
    <w:p>
      <w:pPr>
        <w:keepNext/>
        <w:spacing w:before="200" w:after="60"/>
      </w:pPr>
      <w:r>
        <w:rPr>
          <w:rFonts w:ascii="Calibri" w:hAnsi="Calibri"/>
          <w:b/>
          <w:i w:val="0"/>
          <w:color w:val="1E7A8C"/>
          <w:sz w:val="25"/>
        </w:rPr>
        <w:t>3.5  Rule 12  Fraud</w:t>
      </w:r>
    </w:p>
    <w:p>
      <w:pPr>
        <w:spacing w:after="120"/>
        <w:jc w:val="both"/>
      </w:pPr>
      <w:r>
        <w:rPr>
          <w:rFonts w:ascii="Calibri" w:hAnsi="Calibri"/>
          <w:b w:val="0"/>
          <w:i w:val="0"/>
          <w:color w:val="1B2A32"/>
          <w:sz w:val="21"/>
        </w:rPr>
        <w:t>Where an insurer alleges fabrication of documents or a staged loss, the claim shall not be mediated. Equator may, at the express joint request of both parties, mediate only the consequences of the allegation, including the withdrawal of any flag or a walk-away. Any such request shall be recorded and approved by the Head of Legal.</w:t>
      </w:r>
    </w:p>
    <w:p>
      <w:pPr>
        <w:keepNext/>
        <w:spacing w:before="280" w:after="120"/>
        <w:pBdr>
          <w:bottom w:val="single" w:sz="12" w:space="3" w:color="C6A15B"/>
        </w:pBdr>
      </w:pPr>
      <w:r>
        <w:rPr>
          <w:rFonts w:ascii="Calibri" w:hAnsi="Calibri"/>
          <w:b/>
          <w:i w:val="0"/>
          <w:color w:val="123B4F"/>
          <w:sz w:val="32"/>
        </w:rPr>
        <w:t>4.  Part IV — The neutral</w:t>
      </w:r>
    </w:p>
    <w:p>
      <w:pPr>
        <w:keepNext/>
        <w:spacing w:before="200" w:after="60"/>
      </w:pPr>
      <w:r>
        <w:rPr>
          <w:rFonts w:ascii="Calibri" w:hAnsi="Calibri"/>
          <w:b/>
          <w:i w:val="0"/>
          <w:color w:val="1E7A8C"/>
          <w:sz w:val="25"/>
        </w:rPr>
        <w:t>4.1  Rule 13  Appointment</w:t>
      </w:r>
    </w:p>
    <w:p>
      <w:pPr>
        <w:pStyle w:val="ListNumber"/>
        <w:spacing w:after="60"/>
        <w:jc w:val="both"/>
      </w:pPr>
      <w:r>
        <w:rPr>
          <w:rFonts w:ascii="Calibri" w:hAnsi="Calibri"/>
          <w:b w:val="0"/>
          <w:i w:val="0"/>
          <w:color w:val="1B2A32"/>
          <w:sz w:val="21"/>
        </w:rPr>
        <w:t>The Registrar shall appoint a neutral from the panel within three working days, having regard to the line of business, the language of the parties and any safeguard recorded at triage.</w:t>
      </w:r>
    </w:p>
    <w:p>
      <w:pPr>
        <w:pStyle w:val="ListNumber"/>
        <w:spacing w:after="60"/>
        <w:jc w:val="both"/>
      </w:pPr>
      <w:r>
        <w:rPr>
          <w:rFonts w:ascii="Calibri" w:hAnsi="Calibri"/>
          <w:b/>
          <w:i w:val="0"/>
          <w:color w:val="1B2A32"/>
          <w:sz w:val="21"/>
        </w:rPr>
        <w:t>No neutral shall be selected by the insurer alone.</w:t>
      </w:r>
      <w:r>
        <w:rPr>
          <w:rFonts w:ascii="Calibri" w:hAnsi="Calibri"/>
          <w:b w:val="0"/>
          <w:i w:val="0"/>
          <w:color w:val="1B2A32"/>
          <w:sz w:val="21"/>
        </w:rPr>
        <w:t xml:space="preserve"> Each party may object once, with reasons.</w:t>
      </w:r>
    </w:p>
    <w:p>
      <w:pPr>
        <w:pStyle w:val="ListNumber"/>
        <w:spacing w:after="60"/>
        <w:jc w:val="both"/>
      </w:pPr>
      <w:r>
        <w:rPr>
          <w:rFonts w:ascii="Calibri" w:hAnsi="Calibri"/>
          <w:b w:val="0"/>
          <w:i w:val="0"/>
          <w:color w:val="1B2A32"/>
          <w:sz w:val="21"/>
        </w:rPr>
        <w:t>Rotation shall be applied so that no neutral receives more than the prescribed proportion of appointments attributable to any single insurer.</w:t>
      </w:r>
    </w:p>
    <w:p>
      <w:pPr>
        <w:keepNext/>
        <w:spacing w:before="200" w:after="60"/>
      </w:pPr>
      <w:r>
        <w:rPr>
          <w:rFonts w:ascii="Calibri" w:hAnsi="Calibri"/>
          <w:b/>
          <w:i w:val="0"/>
          <w:color w:val="1E7A8C"/>
          <w:sz w:val="25"/>
        </w:rPr>
        <w:t>4.2  Rule 14  Disclosure and independence</w:t>
      </w:r>
    </w:p>
    <w:p>
      <w:pPr>
        <w:pStyle w:val="ListNumber"/>
        <w:spacing w:after="60"/>
        <w:jc w:val="both"/>
      </w:pPr>
      <w:r>
        <w:rPr>
          <w:rFonts w:ascii="Calibri" w:hAnsi="Calibri"/>
          <w:b w:val="0"/>
          <w:i w:val="0"/>
          <w:color w:val="1B2A32"/>
          <w:sz w:val="21"/>
        </w:rPr>
        <w:t>Every neutral shall complete Form F-I15 before appointment, disclosing every relationship with either party in the preceding five years, the number of Equator appointments received in the preceding twenty-four months and how many of those involved the same insurer.</w:t>
      </w:r>
    </w:p>
    <w:p>
      <w:pPr>
        <w:pStyle w:val="ListNumber"/>
        <w:spacing w:after="60"/>
        <w:jc w:val="both"/>
      </w:pPr>
      <w:r>
        <w:rPr>
          <w:rFonts w:ascii="Calibri" w:hAnsi="Calibri"/>
          <w:b w:val="0"/>
          <w:i w:val="0"/>
          <w:color w:val="1B2A32"/>
          <w:sz w:val="21"/>
        </w:rPr>
        <w:t>The duty to disclose is continuing.</w:t>
      </w:r>
    </w:p>
    <w:p>
      <w:pPr>
        <w:pStyle w:val="ListNumber"/>
        <w:spacing w:after="60"/>
        <w:jc w:val="both"/>
      </w:pPr>
      <w:r>
        <w:rPr>
          <w:rFonts w:ascii="Calibri" w:hAnsi="Calibri"/>
          <w:b w:val="0"/>
          <w:i w:val="0"/>
          <w:color w:val="1B2A32"/>
          <w:sz w:val="21"/>
        </w:rPr>
        <w:t>A neutral shall not act where a reasonable person would entertain justifiable doubts as to independence or impartiality.</w:t>
      </w:r>
    </w:p>
    <w:p>
      <w:pPr>
        <w:pStyle w:val="ListNumber"/>
        <w:spacing w:after="60"/>
        <w:jc w:val="both"/>
      </w:pPr>
      <w:r>
        <w:rPr>
          <w:rFonts w:ascii="Calibri" w:hAnsi="Calibri"/>
          <w:b w:val="0"/>
          <w:i w:val="0"/>
          <w:color w:val="1B2A32"/>
          <w:sz w:val="21"/>
        </w:rPr>
        <w:t>A neutral shall not thereafter act for either party in a related matter.</w:t>
      </w:r>
    </w:p>
    <w:p>
      <w:pPr>
        <w:keepNext/>
        <w:spacing w:before="200" w:after="60"/>
      </w:pPr>
      <w:r>
        <w:rPr>
          <w:rFonts w:ascii="Calibri" w:hAnsi="Calibri"/>
          <w:b/>
          <w:i w:val="0"/>
          <w:color w:val="1E7A8C"/>
          <w:sz w:val="25"/>
        </w:rPr>
        <w:t>4.3  Rule 15  Conduct of the neutral</w:t>
      </w:r>
    </w:p>
    <w:p>
      <w:pPr>
        <w:pStyle w:val="ListNumber"/>
        <w:spacing w:after="60"/>
        <w:jc w:val="both"/>
      </w:pPr>
      <w:r>
        <w:rPr>
          <w:rFonts w:ascii="Calibri" w:hAnsi="Calibri"/>
          <w:b w:val="0"/>
          <w:i w:val="0"/>
          <w:color w:val="1B2A32"/>
          <w:sz w:val="21"/>
        </w:rPr>
        <w:t>The neutral shall be independent, impartial and even-handed, and shall have regard to any inequality of resources or information between the parties.</w:t>
      </w:r>
    </w:p>
    <w:p>
      <w:pPr>
        <w:pStyle w:val="ListNumber"/>
        <w:spacing w:after="60"/>
        <w:jc w:val="both"/>
      </w:pPr>
      <w:r>
        <w:rPr>
          <w:rFonts w:ascii="Calibri" w:hAnsi="Calibri"/>
          <w:b/>
          <w:i w:val="0"/>
          <w:color w:val="1B2A32"/>
          <w:sz w:val="21"/>
        </w:rPr>
        <w:t>The neutral shall not advise either party, shall not express a view on whether the claim would succeed, and shall not predict what the Ombudsman, a commission or a court would decide.</w:t>
      </w:r>
    </w:p>
    <w:p>
      <w:pPr>
        <w:pStyle w:val="ListNumber"/>
        <w:spacing w:after="60"/>
        <w:jc w:val="both"/>
      </w:pPr>
      <w:r>
        <w:rPr>
          <w:rFonts w:ascii="Calibri" w:hAnsi="Calibri"/>
          <w:b w:val="0"/>
          <w:i w:val="0"/>
          <w:color w:val="1B2A32"/>
          <w:sz w:val="21"/>
        </w:rPr>
        <w:t>The neutral shall not permit a settlement that appears to have been procured by pressure, or that a party appears not to understand.</w:t>
      </w:r>
    </w:p>
    <w:p>
      <w:pPr>
        <w:pStyle w:val="ListNumber"/>
        <w:spacing w:after="60"/>
        <w:jc w:val="both"/>
      </w:pPr>
      <w:r>
        <w:rPr>
          <w:rFonts w:ascii="Calibri" w:hAnsi="Calibri"/>
          <w:b w:val="0"/>
          <w:i w:val="0"/>
          <w:color w:val="1B2A32"/>
          <w:sz w:val="21"/>
        </w:rPr>
        <w:t>The neutral shall ensure that the party has been told, in writing, of the clocks applicable to its remedies.</w:t>
      </w:r>
    </w:p>
    <w:p>
      <w:pPr>
        <w:keepNext/>
        <w:spacing w:before="280" w:after="120"/>
        <w:pBdr>
          <w:bottom w:val="single" w:sz="12" w:space="3" w:color="C6A15B"/>
        </w:pBdr>
      </w:pPr>
      <w:r>
        <w:rPr>
          <w:rFonts w:ascii="Calibri" w:hAnsi="Calibri"/>
          <w:b/>
          <w:i w:val="0"/>
          <w:color w:val="123B4F"/>
          <w:sz w:val="32"/>
        </w:rPr>
        <w:t>5.  Part V — The process</w:t>
      </w:r>
    </w:p>
    <w:p>
      <w:pPr>
        <w:keepNext/>
        <w:spacing w:before="200" w:after="60"/>
      </w:pPr>
      <w:r>
        <w:rPr>
          <w:rFonts w:ascii="Calibri" w:hAnsi="Calibri"/>
          <w:b/>
          <w:i w:val="0"/>
          <w:color w:val="1E7A8C"/>
          <w:sz w:val="25"/>
        </w:rPr>
        <w:t>5.1  Rule 16  Sessions</w:t>
      </w:r>
    </w:p>
    <w:p>
      <w:pPr>
        <w:spacing w:after="120"/>
        <w:jc w:val="both"/>
      </w:pPr>
      <w:r>
        <w:rPr>
          <w:rFonts w:ascii="Calibri" w:hAnsi="Calibri"/>
          <w:b w:val="0"/>
          <w:i w:val="0"/>
          <w:color w:val="1B2A32"/>
          <w:sz w:val="21"/>
        </w:rPr>
        <w:t>Sessions may be held in person, online or in a hybrid form. The neutral may hold joint sessions and private sessions (caucus). Nothing disclosed in a private session shall be communicated to the other party without express permission.</w:t>
      </w:r>
    </w:p>
    <w:p>
      <w:pPr>
        <w:keepNext/>
        <w:spacing w:before="200" w:after="60"/>
      </w:pPr>
      <w:r>
        <w:rPr>
          <w:rFonts w:ascii="Calibri" w:hAnsi="Calibri"/>
          <w:b/>
          <w:i w:val="0"/>
          <w:color w:val="1E7A8C"/>
          <w:sz w:val="25"/>
        </w:rPr>
        <w:t>5.2  Rule 17  Confidentiality</w:t>
      </w:r>
    </w:p>
    <w:p>
      <w:pPr>
        <w:pStyle w:val="ListNumber"/>
        <w:spacing w:after="60"/>
        <w:jc w:val="both"/>
      </w:pPr>
      <w:r>
        <w:rPr>
          <w:rFonts w:ascii="Calibri" w:hAnsi="Calibri"/>
          <w:b w:val="0"/>
          <w:i w:val="0"/>
          <w:color w:val="1B2A32"/>
          <w:sz w:val="21"/>
        </w:rPr>
        <w:t>Everything said, offered, admitted or produced in the process is confidential and without prejudice, and is not admissible in any subsequent proceeding, save a signed settlement.</w:t>
      </w:r>
    </w:p>
    <w:p>
      <w:pPr>
        <w:pStyle w:val="ListNumber"/>
        <w:spacing w:after="60"/>
        <w:jc w:val="both"/>
      </w:pPr>
      <w:r>
        <w:rPr>
          <w:rFonts w:ascii="Calibri" w:hAnsi="Calibri"/>
          <w:b w:val="0"/>
          <w:i w:val="0"/>
          <w:color w:val="1B2A32"/>
          <w:sz w:val="21"/>
        </w:rPr>
        <w:t>No party shall call the neutral as a witness or seek the neutral's notes.</w:t>
      </w:r>
    </w:p>
    <w:p>
      <w:pPr>
        <w:pStyle w:val="ListNumber"/>
        <w:spacing w:after="60"/>
        <w:jc w:val="both"/>
      </w:pPr>
      <w:r>
        <w:rPr>
          <w:rFonts w:ascii="Calibri" w:hAnsi="Calibri"/>
          <w:b w:val="0"/>
          <w:i w:val="0"/>
          <w:color w:val="1B2A32"/>
          <w:sz w:val="21"/>
        </w:rPr>
        <w:t>An offer made in the process is not an admission of liability by the insurer, nor a waiver by the policyholder.</w:t>
      </w:r>
    </w:p>
    <w:p>
      <w:pPr>
        <w:pStyle w:val="ListNumber"/>
        <w:spacing w:after="60"/>
        <w:jc w:val="both"/>
      </w:pPr>
      <w:r>
        <w:rPr>
          <w:rFonts w:ascii="Calibri" w:hAnsi="Calibri"/>
          <w:b w:val="0"/>
          <w:i w:val="0"/>
          <w:color w:val="1B2A32"/>
          <w:sz w:val="21"/>
        </w:rPr>
        <w:t>Health and medical information shall be handled on a need-to-know basis and shall not be circulated beyond the neutral, the case manager and the parties' own representatives.</w:t>
      </w:r>
    </w:p>
    <w:p>
      <w:pPr>
        <w:keepNext/>
        <w:spacing w:before="200" w:after="60"/>
      </w:pPr>
      <w:r>
        <w:rPr>
          <w:rFonts w:ascii="Calibri" w:hAnsi="Calibri"/>
          <w:b/>
          <w:i w:val="0"/>
          <w:color w:val="1E7A8C"/>
          <w:sz w:val="25"/>
        </w:rPr>
        <w:t>5.3  Rule 18  Settlement</w:t>
      </w:r>
    </w:p>
    <w:p>
      <w:pPr>
        <w:pStyle w:val="ListNumber"/>
        <w:spacing w:after="60"/>
        <w:jc w:val="both"/>
      </w:pPr>
      <w:r>
        <w:rPr>
          <w:rFonts w:ascii="Calibri" w:hAnsi="Calibri"/>
          <w:b w:val="0"/>
          <w:i w:val="0"/>
          <w:color w:val="1B2A32"/>
          <w:sz w:val="21"/>
        </w:rPr>
        <w:t>A settlement shall be reduced to writing in Form F-I16, read back to the parties in a language they understand, and signed before the session concludes.</w:t>
      </w:r>
    </w:p>
    <w:p>
      <w:pPr>
        <w:pStyle w:val="ListNumber"/>
        <w:spacing w:after="60"/>
        <w:jc w:val="both"/>
      </w:pPr>
      <w:r>
        <w:rPr>
          <w:rFonts w:ascii="Calibri" w:hAnsi="Calibri"/>
          <w:b/>
          <w:i w:val="0"/>
          <w:color w:val="1B2A32"/>
          <w:sz w:val="21"/>
        </w:rPr>
        <w:t>No settlement shall recite the waiver of any right that cannot lawfully be waived, or purport to discharge any claim other than the claim in issue under the policy in issue.</w:t>
      </w:r>
    </w:p>
    <w:p>
      <w:pPr>
        <w:pStyle w:val="ListNumber"/>
        <w:spacing w:after="60"/>
        <w:jc w:val="both"/>
      </w:pPr>
      <w:r>
        <w:rPr>
          <w:rFonts w:ascii="Calibri" w:hAnsi="Calibri"/>
          <w:b w:val="0"/>
          <w:i w:val="0"/>
          <w:color w:val="1B2A32"/>
          <w:sz w:val="21"/>
        </w:rPr>
        <w:t>Where the settlement provides for reinstatement of the policy, it shall expressly preserve continuity of waiting periods and cumulative bonus.</w:t>
      </w:r>
    </w:p>
    <w:p>
      <w:pPr>
        <w:pStyle w:val="ListNumber"/>
        <w:spacing w:after="60"/>
        <w:jc w:val="both"/>
      </w:pPr>
      <w:r>
        <w:rPr>
          <w:rFonts w:ascii="Calibri" w:hAnsi="Calibri"/>
          <w:b w:val="0"/>
          <w:i w:val="0"/>
          <w:color w:val="1B2A32"/>
          <w:sz w:val="21"/>
        </w:rPr>
        <w:t>Where any adverse remark, repudiation entry or fraud indicator is to be withdrawn, the settlement shall require written confirmation of the withdrawal within fifteen days, in the insurer's own records and in any industry database to which it has been reported.</w:t>
      </w:r>
    </w:p>
    <w:p>
      <w:pPr>
        <w:pStyle w:val="ListNumber"/>
        <w:spacing w:after="60"/>
        <w:jc w:val="both"/>
      </w:pPr>
      <w:r>
        <w:rPr>
          <w:rFonts w:ascii="Calibri" w:hAnsi="Calibri"/>
          <w:b w:val="0"/>
          <w:i w:val="0"/>
          <w:color w:val="1B2A32"/>
          <w:sz w:val="21"/>
        </w:rPr>
        <w:t xml:space="preserve">Where a complaint is pending before the Ombudsman or a consumer commission, the parties shall jointly seek its disposal </w:t>
      </w:r>
      <w:r>
        <w:rPr>
          <w:rFonts w:ascii="Calibri" w:hAnsi="Calibri"/>
          <w:b/>
          <w:i w:val="0"/>
          <w:color w:val="1B2A32"/>
          <w:sz w:val="21"/>
        </w:rPr>
        <w:t>in terms of</w:t>
      </w:r>
      <w:r>
        <w:rPr>
          <w:rFonts w:ascii="Calibri" w:hAnsi="Calibri"/>
          <w:b w:val="0"/>
          <w:i w:val="0"/>
          <w:color w:val="1B2A32"/>
          <w:sz w:val="21"/>
        </w:rPr>
        <w:t xml:space="preserve"> the settlement rather than its withdrawal.</w:t>
      </w:r>
    </w:p>
    <w:p>
      <w:pPr>
        <w:pStyle w:val="ListNumber"/>
        <w:spacing w:after="60"/>
        <w:jc w:val="both"/>
      </w:pPr>
      <w:r>
        <w:rPr>
          <w:rFonts w:ascii="Calibri" w:hAnsi="Calibri"/>
          <w:b w:val="0"/>
          <w:i w:val="0"/>
          <w:color w:val="1B2A32"/>
          <w:sz w:val="21"/>
        </w:rPr>
        <w:t>The settlement shall be registered as required by the Mediation Act, 2023 and is thereupon enforceable as a decree of court under section 27.</w:t>
      </w:r>
    </w:p>
    <w:p>
      <w:pPr>
        <w:keepNext/>
        <w:spacing w:before="200" w:after="60"/>
      </w:pPr>
      <w:r>
        <w:rPr>
          <w:rFonts w:ascii="Calibri" w:hAnsi="Calibri"/>
          <w:b/>
          <w:i w:val="0"/>
          <w:color w:val="1E7A8C"/>
          <w:sz w:val="25"/>
        </w:rPr>
        <w:t>5.4  Rule 19  Discharge vouchers</w:t>
      </w:r>
    </w:p>
    <w:p>
      <w:pPr>
        <w:spacing w:after="120"/>
        <w:jc w:val="both"/>
      </w:pPr>
      <w:r>
        <w:rPr>
          <w:rFonts w:ascii="Calibri" w:hAnsi="Calibri"/>
          <w:b w:val="0"/>
          <w:i w:val="0"/>
          <w:color w:val="1B2A32"/>
          <w:sz w:val="21"/>
        </w:rPr>
        <w:t xml:space="preserve">Where an insurer requires a discharge voucher, the Registrar shall ensure that Form F-I17 is used and that the basis of the voucher — full and final, under protest, or on account — is recorded. </w:t>
      </w:r>
      <w:r>
        <w:rPr>
          <w:rFonts w:ascii="Calibri" w:hAnsi="Calibri"/>
          <w:b/>
          <w:i w:val="0"/>
          <w:color w:val="1B2A32"/>
          <w:sz w:val="21"/>
        </w:rPr>
        <w:t>A party accepting a part-payment while disputing the balance shall be informed, in writing, of the endorsement available to it.</w:t>
      </w:r>
    </w:p>
    <w:p>
      <w:pPr>
        <w:keepNext/>
        <w:spacing w:before="200" w:after="60"/>
      </w:pPr>
      <w:r>
        <w:rPr>
          <w:rFonts w:ascii="Calibri" w:hAnsi="Calibri"/>
          <w:b/>
          <w:i w:val="0"/>
          <w:color w:val="1E7A8C"/>
          <w:sz w:val="25"/>
        </w:rPr>
        <w:t>5.5  Rule 20  Escrow</w:t>
      </w:r>
    </w:p>
    <w:p>
      <w:pPr>
        <w:spacing w:after="120"/>
        <w:jc w:val="both"/>
      </w:pPr>
      <w:r>
        <w:rPr>
          <w:rFonts w:ascii="Calibri" w:hAnsi="Calibri"/>
          <w:b w:val="0"/>
          <w:i w:val="0"/>
          <w:color w:val="1B2A32"/>
          <w:sz w:val="21"/>
        </w:rPr>
        <w:t>Where payment is staged or conditional, funds may be held in escrow under Form F-I18 and released only on the Registrar recording that the stated condition is satisfied and the evidence is on file.</w:t>
      </w:r>
    </w:p>
    <w:p>
      <w:pPr>
        <w:keepNext/>
        <w:spacing w:before="280" w:after="120"/>
        <w:pBdr>
          <w:bottom w:val="single" w:sz="12" w:space="3" w:color="C6A15B"/>
        </w:pBdr>
      </w:pPr>
      <w:r>
        <w:rPr>
          <w:rFonts w:ascii="Calibri" w:hAnsi="Calibri"/>
          <w:b/>
          <w:i w:val="0"/>
          <w:color w:val="123B4F"/>
          <w:sz w:val="32"/>
        </w:rPr>
        <w:t>6.  Part VI — Arbitration (commercial policies only)</w:t>
      </w:r>
    </w:p>
    <w:p>
      <w:pPr>
        <w:keepNext/>
        <w:spacing w:before="200" w:after="60"/>
      </w:pPr>
      <w:r>
        <w:rPr>
          <w:rFonts w:ascii="Calibri" w:hAnsi="Calibri"/>
          <w:b/>
          <w:i w:val="0"/>
          <w:color w:val="1E7A8C"/>
          <w:sz w:val="25"/>
        </w:rPr>
        <w:t>6.1  Rule 21  Availability</w:t>
      </w:r>
    </w:p>
    <w:p>
      <w:pPr>
        <w:spacing w:after="120"/>
        <w:jc w:val="both"/>
      </w:pPr>
      <w:r>
        <w:rPr>
          <w:rFonts w:ascii="Calibri" w:hAnsi="Calibri"/>
          <w:b w:val="0"/>
          <w:i w:val="0"/>
          <w:color w:val="1B2A32"/>
          <w:sz w:val="21"/>
        </w:rPr>
        <w:t xml:space="preserve">Arbitration is available only where the policy is a commercial policy and the parties have separately and mutually entered into an arbitration agreement covering any and all disputes. </w:t>
      </w:r>
      <w:r>
        <w:rPr>
          <w:rFonts w:ascii="Calibri" w:hAnsi="Calibri"/>
          <w:b/>
          <w:i w:val="0"/>
          <w:color w:val="1B2A32"/>
          <w:sz w:val="21"/>
        </w:rPr>
        <w:t>The Registrar shall refuse to register an arbitration on a retail policy</w:t>
      </w:r>
      <w:r>
        <w:rPr>
          <w:rFonts w:ascii="Calibri" w:hAnsi="Calibri"/>
          <w:b w:val="0"/>
          <w:i w:val="0"/>
          <w:color w:val="1B2A32"/>
          <w:sz w:val="21"/>
        </w:rPr>
        <w:t>, and shall inform the parties of the IRDAI circular dated 27 October 2023 and of the routes that are available.</w:t>
      </w:r>
    </w:p>
    <w:p>
      <w:pPr>
        <w:keepNext/>
        <w:spacing w:before="200" w:after="60"/>
      </w:pPr>
      <w:r>
        <w:rPr>
          <w:rFonts w:ascii="Calibri" w:hAnsi="Calibri"/>
          <w:b/>
          <w:i w:val="0"/>
          <w:color w:val="1E7A8C"/>
          <w:sz w:val="25"/>
        </w:rPr>
        <w:t>6.2  Rule 22  Constitution and conduct</w:t>
      </w:r>
    </w:p>
    <w:p>
      <w:pPr>
        <w:pStyle w:val="ListNumber"/>
        <w:spacing w:after="60"/>
        <w:jc w:val="both"/>
      </w:pPr>
      <w:r>
        <w:rPr>
          <w:rFonts w:ascii="Calibri" w:hAnsi="Calibri"/>
          <w:b w:val="0"/>
          <w:i w:val="0"/>
          <w:color w:val="1B2A32"/>
          <w:sz w:val="21"/>
        </w:rPr>
        <w:t>The tribunal shall be constituted in accordance with the arbitration agreement, failing which by the Registrar.</w:t>
      </w:r>
    </w:p>
    <w:p>
      <w:pPr>
        <w:pStyle w:val="ListNumber"/>
        <w:spacing w:after="60"/>
        <w:jc w:val="both"/>
      </w:pPr>
      <w:r>
        <w:rPr>
          <w:rFonts w:ascii="Calibri" w:hAnsi="Calibri"/>
          <w:b w:val="0"/>
          <w:i w:val="0"/>
          <w:color w:val="1B2A32"/>
          <w:sz w:val="21"/>
        </w:rPr>
        <w:t>Every arbitrator shall make disclosure under section 12 and the Schedules to the Arbitration and Conciliation Act, 1996.</w:t>
      </w:r>
    </w:p>
    <w:p>
      <w:pPr>
        <w:pStyle w:val="ListNumber"/>
        <w:spacing w:after="60"/>
        <w:jc w:val="both"/>
      </w:pPr>
      <w:r>
        <w:rPr>
          <w:rFonts w:ascii="Calibri" w:hAnsi="Calibri"/>
          <w:b w:val="0"/>
          <w:i w:val="0"/>
          <w:color w:val="1B2A32"/>
          <w:sz w:val="21"/>
        </w:rPr>
        <w:t>The tribunal shall hold a case-management conference and issue Procedural Order No. 1 within twenty-one days of constitution, fixing a timetable within section 29A.</w:t>
      </w:r>
    </w:p>
    <w:p>
      <w:pPr>
        <w:pStyle w:val="ListNumber"/>
        <w:spacing w:after="60"/>
        <w:jc w:val="both"/>
      </w:pPr>
      <w:r>
        <w:rPr>
          <w:rFonts w:ascii="Calibri" w:hAnsi="Calibri"/>
          <w:b w:val="0"/>
          <w:i w:val="0"/>
          <w:color w:val="1B2A32"/>
          <w:sz w:val="21"/>
        </w:rPr>
        <w:t>The parties shall attempt mediation for thirty days before the first hearing unless they have already done so.</w:t>
      </w:r>
    </w:p>
    <w:p>
      <w:pPr>
        <w:pStyle w:val="ListNumber"/>
        <w:spacing w:after="60"/>
        <w:jc w:val="both"/>
      </w:pPr>
      <w:r>
        <w:rPr>
          <w:rFonts w:ascii="Calibri" w:hAnsi="Calibri"/>
          <w:b w:val="0"/>
          <w:i w:val="0"/>
          <w:color w:val="1B2A32"/>
          <w:sz w:val="21"/>
        </w:rPr>
        <w:t>The award shall be reasoned and shall be delivered within the period permitted by section 29A.</w:t>
      </w:r>
    </w:p>
    <w:p>
      <w:pPr>
        <w:keepNext/>
        <w:spacing w:before="280" w:after="120"/>
        <w:pBdr>
          <w:bottom w:val="single" w:sz="12" w:space="3" w:color="C6A15B"/>
        </w:pBdr>
      </w:pPr>
      <w:r>
        <w:rPr>
          <w:rFonts w:ascii="Calibri" w:hAnsi="Calibri"/>
          <w:b/>
          <w:i w:val="0"/>
          <w:color w:val="123B4F"/>
          <w:sz w:val="32"/>
        </w:rPr>
        <w:t>7.  Part VII — Closure, records and assurance</w:t>
      </w:r>
    </w:p>
    <w:p>
      <w:pPr>
        <w:keepNext/>
        <w:spacing w:before="200" w:after="60"/>
      </w:pPr>
      <w:r>
        <w:rPr>
          <w:rFonts w:ascii="Calibri" w:hAnsi="Calibri"/>
          <w:b/>
          <w:i w:val="0"/>
          <w:color w:val="1E7A8C"/>
          <w:sz w:val="25"/>
        </w:rPr>
        <w:t>7.1  Rule 23  Closure</w:t>
      </w:r>
    </w:p>
    <w:p>
      <w:pPr>
        <w:spacing w:after="120"/>
        <w:jc w:val="both"/>
      </w:pPr>
      <w:r>
        <w:rPr>
          <w:rFonts w:ascii="Calibri" w:hAnsi="Calibri"/>
          <w:b w:val="0"/>
          <w:i w:val="0"/>
          <w:color w:val="1B2A32"/>
          <w:sz w:val="21"/>
        </w:rPr>
        <w:t xml:space="preserve">A matter is closed on Form F-I20, which requires verification that the settlement has been </w:t>
      </w:r>
      <w:r>
        <w:rPr>
          <w:rFonts w:ascii="Calibri" w:hAnsi="Calibri"/>
          <w:b/>
          <w:i w:val="0"/>
          <w:color w:val="1B2A32"/>
          <w:sz w:val="21"/>
        </w:rPr>
        <w:t>performed</w:t>
      </w:r>
      <w:r>
        <w:rPr>
          <w:rFonts w:ascii="Calibri" w:hAnsi="Calibri"/>
          <w:b w:val="0"/>
          <w:i w:val="0"/>
          <w:color w:val="1B2A32"/>
          <w:sz w:val="21"/>
        </w:rPr>
        <w:t xml:space="preserve"> — payment received, policy reinstated, remark withdrawn, complaint disposed — and that the retention class has been set and, where applicable, medical records erased.</w:t>
      </w:r>
    </w:p>
    <w:p>
      <w:pPr>
        <w:keepNext/>
        <w:spacing w:before="200" w:after="60"/>
      </w:pPr>
      <w:r>
        <w:rPr>
          <w:rFonts w:ascii="Calibri" w:hAnsi="Calibri"/>
          <w:b/>
          <w:i w:val="0"/>
          <w:color w:val="1E7A8C"/>
          <w:sz w:val="25"/>
        </w:rPr>
        <w:t>7.2  Rule 24  Records and data protection</w:t>
      </w:r>
    </w:p>
    <w:p>
      <w:pPr>
        <w:spacing w:after="120"/>
        <w:jc w:val="both"/>
      </w:pPr>
      <w:r>
        <w:rPr>
          <w:rFonts w:ascii="Calibri" w:hAnsi="Calibri"/>
          <w:b w:val="0"/>
          <w:i w:val="0"/>
          <w:color w:val="1B2A32"/>
          <w:sz w:val="21"/>
        </w:rPr>
        <w:t>Equator acts as a Data Fiduciary under the Digital Personal Data Protection Act, 2023. Health data is stored separately and encrypted, is accessible only to the assigned case manager and neutral, is access-logged, and is excluded from all analytics and artificial-intelligence datasets.</w:t>
      </w:r>
    </w:p>
    <w:p>
      <w:pPr>
        <w:keepNext/>
        <w:spacing w:before="200" w:after="60"/>
      </w:pPr>
      <w:r>
        <w:rPr>
          <w:rFonts w:ascii="Calibri" w:hAnsi="Calibri"/>
          <w:b/>
          <w:i w:val="0"/>
          <w:color w:val="1E7A8C"/>
          <w:sz w:val="25"/>
        </w:rPr>
        <w:t>7.3  Rule 25  Publication of outcomes</w:t>
      </w:r>
    </w:p>
    <w:p>
      <w:pPr>
        <w:spacing w:after="120"/>
        <w:jc w:val="both"/>
      </w:pPr>
      <w:r>
        <w:rPr>
          <w:rFonts w:ascii="Calibri" w:hAnsi="Calibri"/>
          <w:b w:val="0"/>
          <w:i w:val="0"/>
          <w:color w:val="1B2A32"/>
          <w:sz w:val="21"/>
        </w:rPr>
        <w:t>Equator shall publish quarterly, in aggregate and anonymised form, the number of matters handled for each insurer, the settlement rate and the distribution of outcomes. No party may contract out of this Rule.</w:t>
      </w:r>
    </w:p>
    <w:p>
      <w:pPr>
        <w:keepNext/>
        <w:spacing w:before="200" w:after="60"/>
      </w:pPr>
      <w:r>
        <w:rPr>
          <w:rFonts w:ascii="Calibri" w:hAnsi="Calibri"/>
          <w:b/>
          <w:i w:val="0"/>
          <w:color w:val="1E7A8C"/>
          <w:sz w:val="25"/>
        </w:rPr>
        <w:t>7.4  Rule 26  Complaints against Equator</w:t>
      </w:r>
    </w:p>
    <w:p>
      <w:pPr>
        <w:spacing w:after="120"/>
        <w:jc w:val="both"/>
      </w:pPr>
      <w:r>
        <w:rPr>
          <w:rFonts w:ascii="Calibri" w:hAnsi="Calibri"/>
          <w:b w:val="0"/>
          <w:i w:val="0"/>
          <w:color w:val="1B2A32"/>
          <w:sz w:val="21"/>
        </w:rPr>
        <w:t>A party dissatisfied with the conduct of a matter may complain to the Grievance Officer at grievance@equatorresolution.com. Complaints concerning a neutral are determined by the Panel Committee, which may reprimand, suspend or remove a neutral.</w:t>
      </w:r>
    </w:p>
    <w:p>
      <w:pPr>
        <w:keepNext/>
        <w:spacing w:before="200" w:after="60"/>
      </w:pPr>
      <w:r>
        <w:rPr>
          <w:rFonts w:ascii="Calibri" w:hAnsi="Calibri"/>
          <w:b/>
          <w:i w:val="0"/>
          <w:color w:val="1E7A8C"/>
          <w:sz w:val="25"/>
        </w:rPr>
        <w:t>7.5  Rule 27  Fees</w:t>
      </w:r>
    </w:p>
    <w:p>
      <w:pPr>
        <w:spacing w:after="120"/>
        <w:jc w:val="both"/>
      </w:pPr>
      <w:r>
        <w:rPr>
          <w:rFonts w:ascii="Calibri" w:hAnsi="Calibri"/>
          <w:b w:val="0"/>
          <w:i w:val="0"/>
          <w:color w:val="1B2A32"/>
          <w:sz w:val="21"/>
        </w:rPr>
        <w:t xml:space="preserve">Fees are as set out in the Schedule of Fees (Insurance). Waivers and concessions are available and shall be granted where the fee would be a barrier. </w:t>
      </w:r>
      <w:r>
        <w:rPr>
          <w:rFonts w:ascii="Calibri" w:hAnsi="Calibri"/>
          <w:b/>
          <w:i w:val="0"/>
          <w:color w:val="1B2A32"/>
          <w:sz w:val="21"/>
        </w:rPr>
        <w:t>No fee shall be calculated in a manner that gives Equator an interest in the amount of any settlement.</w:t>
      </w:r>
    </w:p>
    <w:p>
      <w:pPr>
        <w:keepNext/>
        <w:spacing w:before="200" w:after="60"/>
      </w:pPr>
      <w:r>
        <w:rPr>
          <w:rFonts w:ascii="Calibri" w:hAnsi="Calibri"/>
          <w:b/>
          <w:i w:val="0"/>
          <w:color w:val="1E7A8C"/>
          <w:sz w:val="25"/>
        </w:rPr>
        <w:t>7.6  Rule 28  Amendment</w:t>
      </w:r>
    </w:p>
    <w:p>
      <w:pPr>
        <w:spacing w:after="120"/>
        <w:jc w:val="both"/>
      </w:pPr>
      <w:r>
        <w:rPr>
          <w:rFonts w:ascii="Calibri" w:hAnsi="Calibri"/>
          <w:b w:val="0"/>
          <w:i w:val="0"/>
          <w:color w:val="1B2A32"/>
          <w:sz w:val="21"/>
        </w:rPr>
        <w:t>These Rules may be amended by the Board. They shall be reviewed every six months and on any amendment to the Insurance Ombudsman Rules, the IRDAI regulations or the Mediation Act.</w:t>
      </w:r>
    </w:p>
    <w:p>
      <w:pPr>
        <w:keepNext/>
        <w:spacing w:before="280" w:after="120"/>
        <w:pBdr>
          <w:bottom w:val="single" w:sz="12" w:space="3" w:color="C6A15B"/>
        </w:pBdr>
      </w:pPr>
      <w:r>
        <w:rPr>
          <w:rFonts w:ascii="Calibri" w:hAnsi="Calibri"/>
          <w:b/>
          <w:i w:val="0"/>
          <w:color w:val="123B4F"/>
          <w:sz w:val="32"/>
        </w:rPr>
        <w:t>Schedule A — The standing signposting script</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TO BE DELIVERED VERBATIM AT FIRST CONTACT</w:t>
            </w:r>
          </w:p>
          <w:p>
            <w:r>
              <w:rPr>
                <w:rFonts w:ascii="Calibri" w:hAnsi="Calibri"/>
                <w:b w:val="0"/>
                <w:i w:val="0"/>
                <w:color w:val="1B2A32"/>
                <w:sz w:val="19"/>
              </w:rPr>
              <w:t>“Before we go any further, three things you should know. First, there is a free government forum for insurance complaints — the Insurance Ombudsman. There are 17 offices, you don't need a lawyer, it costs nothing, and if it makes an award the insurer has to comply up to ₹30 lakh, while you remain free to go elsewhere if you're not satisfied. Second, to use it you must first complain to your insurer in writing and give them 30 days, and you must go to the Ombudsman within one year — I will give you that date in writing today. Third, what we do here is different: we try to get the two sides to agree, quickly, and we can agree things an award can't — reinstating your policy, removing a black mark, changing a product. Using us does not stop you using the Ombudsman. But it also doesn't pause your one-year clock, so we'll keep an eye on that date together.”</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24975A-795E-43E8-BADC-1D54865954AA}"/>
</file>

<file path=customXml/itemProps3.xml><?xml version="1.0" encoding="utf-8"?>
<ds:datastoreItem xmlns:ds="http://schemas.openxmlformats.org/officeDocument/2006/customXml" ds:itemID="{A1D4DA63-2B4F-44C5-8A71-B575FE16594C}"/>
</file>

<file path=customXml/itemProps4.xml><?xml version="1.0" encoding="utf-8"?>
<ds:datastoreItem xmlns:ds="http://schemas.openxmlformats.org/officeDocument/2006/customXml" ds:itemID="{DD9DA22F-AB61-41FE-A62D-14F02902D02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