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Business Interruption &amp; Emerging-Risk Supplement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Pandemic, cyber, parametric and climate — how the new disputes are mediated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Insurance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Why this supplement exists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disputes in this supplement are newer, larger and less settled than the classic lines. They share a feature that makes them mediable: the </w:t>
      </w:r>
      <w:r>
        <w:rPr>
          <w:rFonts w:ascii="Calibri" w:hAnsi="Calibri"/>
          <w:b/>
          <w:i w:val="0"/>
          <w:color w:val="1B2A32"/>
          <w:sz w:val="21"/>
        </w:rPr>
        <w:t>trigger</w:t>
      </w:r>
      <w:r>
        <w:rPr>
          <w:rFonts w:ascii="Calibri" w:hAnsi="Calibri"/>
          <w:b w:val="0"/>
          <w:i w:val="0"/>
          <w:color w:val="1B2A32"/>
          <w:sz w:val="21"/>
        </w:rPr>
        <w:t xml:space="preserve"> and the </w:t>
      </w:r>
      <w:r>
        <w:rPr>
          <w:rFonts w:ascii="Calibri" w:hAnsi="Calibri"/>
          <w:b/>
          <w:i w:val="0"/>
          <w:color w:val="1B2A32"/>
          <w:sz w:val="21"/>
        </w:rPr>
        <w:t>wording</w:t>
      </w:r>
      <w:r>
        <w:rPr>
          <w:rFonts w:ascii="Calibri" w:hAnsi="Calibri"/>
          <w:b w:val="0"/>
          <w:i w:val="0"/>
          <w:color w:val="1B2A32"/>
          <w:sz w:val="21"/>
        </w:rPr>
        <w:t xml:space="preserve"> are genuinely contestable, so reasonable parties reach different but defensible positions — exactly the space mediation occupies.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1.  Business interruption — the anatomy of the dispute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BI cover responds to the loss of gross profit during an indemnity period following an insured event. Almost every BI dispute is one of four things: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Battleground</w:t>
            </w:r>
          </w:p>
        </w:tc>
        <w:tc>
          <w:tcPr>
            <w:tcW w:type="dxa" w:w="547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The question</w:t>
            </w:r>
          </w:p>
        </w:tc>
        <w:tc>
          <w:tcPr>
            <w:tcW w:type="dxa" w:w="57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The mediable element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trigger</w:t>
            </w:r>
          </w:p>
        </w:tc>
        <w:tc>
          <w:tcPr>
            <w:tcW w:type="dxa" w:w="547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Was there 'direct physical loss or damage' to insured property (the usual precondition to BI)?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Where damage is arguable (contamination, ingress, denial of access), a split is reachable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indemnity period</w:t>
            </w:r>
          </w:p>
        </w:tc>
        <w:tc>
          <w:tcPr>
            <w:tcW w:type="dxa" w:w="547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How long did the interruption actually last, and was it within the period insured?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 joint forensic accountant resolves most of this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gross-profit rate</w:t>
            </w:r>
          </w:p>
        </w:tc>
        <w:tc>
          <w:tcPr>
            <w:tcW w:type="dxa" w:w="547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Rate of gross profit, standing charges, savings, trend adjustments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Pure accounting — the classic mediated computation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Extensions &amp; exclusions</w:t>
            </w:r>
          </w:p>
        </w:tc>
        <w:tc>
          <w:tcPr>
            <w:tcW w:type="dxa" w:w="547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Denial of access, suppliers/customers extension, and any virus/pandemic exclusion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Turns on the specific wording and any write-back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2.  Pandemic and the virus-exclusion problem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The COVID-19 period produced the largest wave of BI disputes in a generation. The recurring issues, and how they are approached in mediation: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'Direct physical loss or damage'.</w:t>
      </w:r>
      <w:r>
        <w:rPr>
          <w:rFonts w:ascii="Calibri" w:hAnsi="Calibri"/>
          <w:b w:val="0"/>
          <w:i w:val="0"/>
          <w:color w:val="1B2A32"/>
          <w:sz w:val="21"/>
        </w:rPr>
        <w:t xml:space="preserve"> Most standard BI cover requires it, and a virus present on premises or a government-ordered closure is widely argued </w:t>
      </w:r>
      <w:r>
        <w:rPr>
          <w:rFonts w:ascii="Calibri" w:hAnsi="Calibri"/>
          <w:b/>
          <w:i w:val="0"/>
          <w:color w:val="1B2A32"/>
          <w:sz w:val="21"/>
        </w:rPr>
        <w:t>not</w:t>
      </w:r>
      <w:r>
        <w:rPr>
          <w:rFonts w:ascii="Calibri" w:hAnsi="Calibri"/>
          <w:b w:val="0"/>
          <w:i w:val="0"/>
          <w:color w:val="1B2A32"/>
          <w:sz w:val="21"/>
        </w:rPr>
        <w:t xml:space="preserve"> to be physical damage. Where cover was written on that basis, the policyholder's position is weak — and honesty about that at intake is a service, not a failure.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Virus / communicable-disease exclusions.</w:t>
      </w:r>
      <w:r>
        <w:rPr>
          <w:rFonts w:ascii="Calibri" w:hAnsi="Calibri"/>
          <w:b w:val="0"/>
          <w:i w:val="0"/>
          <w:color w:val="1B2A32"/>
          <w:sz w:val="21"/>
        </w:rPr>
        <w:t xml:space="preserve"> Many policies added express exclusions after SARS; where present and clear, they are usually decisive. Where absent, ambiguous, or inconsistently applied across a book, contra proferentem and course-of-dealing arguments open space.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Notifiable-disease and denial-of-access extensions.</w:t>
      </w:r>
      <w:r>
        <w:rPr>
          <w:rFonts w:ascii="Calibri" w:hAnsi="Calibri"/>
          <w:b w:val="0"/>
          <w:i w:val="0"/>
          <w:color w:val="1B2A32"/>
          <w:sz w:val="21"/>
        </w:rPr>
        <w:t xml:space="preserve"> Some policies carried extensions that respond without physical damage, subject to radius and sub-limits. These are the fertile ground, and their construction is genuinely arguable.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The UK FCA test-case shadow.</w:t>
      </w:r>
      <w:r>
        <w:rPr>
          <w:rFonts w:ascii="Calibri" w:hAnsi="Calibri"/>
          <w:b w:val="0"/>
          <w:i w:val="0"/>
          <w:color w:val="1B2A32"/>
          <w:sz w:val="21"/>
        </w:rPr>
        <w:t xml:space="preserve"> English appellate guidance on disease and prevention-of-access clauses is influential but not binding in India; use it to frame argument, not as authority. </w:t>
      </w:r>
      <w:r>
        <w:rPr>
          <w:rFonts w:ascii="Calibri" w:hAnsi="Calibri"/>
          <w:b/>
          <w:i w:val="0"/>
          <w:color w:val="1B2A32"/>
          <w:sz w:val="21"/>
        </w:rPr>
        <w:t>[verify — any Indian appellate authority on COVID BI before citing.]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THE HONEST INTAKE ON A PANDEMIC BI CLAIM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Where the policy plainly required physical damage and carried a clear virus exclusion, the policyholder should be told, plainly, that the claim is weak — and pointed to whatever extension or ambiguity exists, if any. Selling a pandemic BI mediation on false hope would be exactly the kind of harm this vertical exists to avoid.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3.  Cyber — the disputes to expect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India's cyber market is roughly US$50–60 million and growing at 27–30% a year; some 50,000 claims were reported in 2024, up about 40%, and a reported quarter of 2023–24 claims were partially paid or denied on exclusions. Because many wordings are re-badged foreign templates, construction disputes are common.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18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Dispute</w:t>
            </w:r>
          </w:p>
        </w:tc>
        <w:tc>
          <w:tcPr>
            <w:tcW w:type="dxa" w:w="921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How it is mediated</w:t>
            </w:r>
          </w:p>
        </w:tc>
      </w:tr>
      <w:tr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Cyber-hygiene warranty breach (unpatched, no MFA)</w:t>
            </w:r>
          </w:p>
        </w:tc>
        <w:tc>
          <w:tcPr>
            <w:tcW w:type="dxa" w:w="9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Was the warranty clear and was the lapse causative of *this* loss? A partial settlement is common</w:t>
            </w:r>
          </w:p>
        </w:tc>
      </w:tr>
      <w:tr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Social engineering / BEC</w:t>
            </w:r>
          </w:p>
        </w:tc>
        <w:tc>
          <w:tcPr>
            <w:tcW w:type="dxa" w:w="9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Turns on whether a social-engineering extension exists and how 'computer fraud' is defined — contra proferentem assists</w:t>
            </w:r>
          </w:p>
        </w:tc>
      </w:tr>
      <w:tr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Ransomware / extortion</w:t>
            </w:r>
          </w:p>
        </w:tc>
        <w:tc>
          <w:tcPr>
            <w:tcW w:type="dxa" w:w="9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Whether payment was lawful, sanctioned and pre-approved; incident-response cover usually responds even where extortion is capped</w:t>
            </w:r>
          </w:p>
        </w:tc>
      </w:tr>
      <w:tr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War / state-sponsored exclusion</w:t>
            </w:r>
          </w:p>
        </w:tc>
        <w:tc>
          <w:tcPr>
            <w:tcW w:type="dxa" w:w="921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Attribution is hard; the burden and standard of proof are the negotiable ground</w:t>
            </w:r>
          </w:p>
        </w:tc>
      </w:tr>
      <w:tr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Cyber BI / systems failure</w:t>
            </w:r>
          </w:p>
        </w:tc>
        <w:tc>
          <w:tcPr>
            <w:tcW w:type="dxa" w:w="921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Waiting period and dependency definitions; computed like any BI claim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4.  Parametric and index-based cover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Parametric products (weather-index crop, catastrophe triggers, flight-delay) pay on a </w:t>
      </w:r>
      <w:r>
        <w:rPr>
          <w:rFonts w:ascii="Calibri" w:hAnsi="Calibri"/>
          <w:b/>
          <w:i w:val="0"/>
          <w:color w:val="1B2A32"/>
          <w:sz w:val="21"/>
        </w:rPr>
        <w:t>measured index</w:t>
      </w:r>
      <w:r>
        <w:rPr>
          <w:rFonts w:ascii="Calibri" w:hAnsi="Calibri"/>
          <w:b w:val="0"/>
          <w:i w:val="0"/>
          <w:color w:val="1B2A32"/>
          <w:sz w:val="21"/>
        </w:rPr>
        <w:t xml:space="preserve">, not an assessed loss. The dispute is different in kind: not 'how much was the loss' but 'did the index trigger, and was the reference station/data correct'. This is </w:t>
      </w:r>
      <w:r>
        <w:rPr>
          <w:rFonts w:ascii="Calibri" w:hAnsi="Calibri"/>
          <w:b/>
          <w:i w:val="0"/>
          <w:color w:val="1B2A32"/>
          <w:sz w:val="21"/>
        </w:rPr>
        <w:t>basis risk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gap between the index and the actual loss.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662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Dispute</w:t>
            </w:r>
          </w:p>
        </w:tc>
        <w:tc>
          <w:tcPr>
            <w:tcW w:type="dxa" w:w="777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The negotiable element</w:t>
            </w:r>
          </w:p>
        </w:tc>
      </w:tr>
      <w:tr>
        <w:tc>
          <w:tcPr>
            <w:tcW w:type="dxa" w:w="662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Index did not trigger though loss occurred (basis risk)</w:t>
            </w:r>
          </w:p>
        </w:tc>
        <w:tc>
          <w:tcPr>
            <w:tcW w:type="dxa" w:w="77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reference station, data source and the trigger threshold; goodwill or ex-gratia where the mismatch is stark</w:t>
            </w:r>
          </w:p>
        </w:tc>
      </w:tr>
      <w:tr>
        <w:tc>
          <w:tcPr>
            <w:tcW w:type="dxa" w:w="662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Data quality / station failure</w:t>
            </w:r>
          </w:p>
        </w:tc>
        <w:tc>
          <w:tcPr>
            <w:tcW w:type="dxa" w:w="77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Which dataset governs; fallback provisions in the wording</w:t>
            </w:r>
          </w:p>
        </w:tc>
      </w:tr>
      <w:tr>
        <w:tc>
          <w:tcPr>
            <w:tcW w:type="dxa" w:w="662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Trigger met but payout disputed</w:t>
            </w:r>
          </w:p>
        </w:tc>
        <w:tc>
          <w:tcPr>
            <w:tcW w:type="dxa" w:w="77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payout formula is arithmetic — usually quickly resolved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5.  Climate, ESG and the direction of travel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Climate-linked catastrophe</w:t>
      </w:r>
      <w:r>
        <w:rPr>
          <w:rFonts w:ascii="Calibri" w:hAnsi="Calibri"/>
          <w:b w:val="0"/>
          <w:i w:val="0"/>
          <w:color w:val="1B2A32"/>
          <w:sz w:val="21"/>
        </w:rPr>
        <w:t xml:space="preserve"> losses (flood, cyclone) increasingly drive property and crop disputes; aggregation and 'event' definitions become central as single weather systems cause multiple losses.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Green-rebuild and betterment</w:t>
      </w:r>
      <w:r>
        <w:rPr>
          <w:rFonts w:ascii="Calibri" w:hAnsi="Calibri"/>
          <w:b w:val="0"/>
          <w:i w:val="0"/>
          <w:color w:val="1B2A32"/>
          <w:sz w:val="21"/>
        </w:rPr>
        <w:t xml:space="preserve"> disputes arise where reinstatement to a higher environmental standard is required by law or desired by the insured — a mediable betterment question.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ESG-driven D&amp;O</w:t>
      </w:r>
      <w:r>
        <w:rPr>
          <w:rFonts w:ascii="Calibri" w:hAnsi="Calibri"/>
          <w:b w:val="0"/>
          <w:i w:val="0"/>
          <w:color w:val="1B2A32"/>
          <w:sz w:val="21"/>
        </w:rPr>
        <w:t xml:space="preserve"> exposure (climate disclosure, greenwashing claims) is an emerging liability line to watch.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Parametric climate cover</w:t>
      </w:r>
      <w:r>
        <w:rPr>
          <w:rFonts w:ascii="Calibri" w:hAnsi="Calibri"/>
          <w:b w:val="0"/>
          <w:i w:val="0"/>
          <w:color w:val="1B2A32"/>
          <w:sz w:val="21"/>
        </w:rPr>
        <w:t xml:space="preserve"> will grow because it settles fast — but basis risk will be its recurring dispute.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DCEAEF"/>
            <w:tcBorders>
              <w:start w:val="single" w:sz="22" w:space="0" w:color="1E7A8C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THE COMMON THREAD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Every emerging line settles for the same reason the classic ones do: where the trigger or the wording is genuinely contestable, both sides would rather agree a defensible number than gamble on a forum. Equator's job is unchanged — get the file, break the decision down, compute the range, and build a package. The subject-matter is new; the method is not.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Insurance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4BBE47-C3D0-4512-8711-6EDFC3FF32A5}"/>
</file>

<file path=customXml/itemProps3.xml><?xml version="1.0" encoding="utf-8"?>
<ds:datastoreItem xmlns:ds="http://schemas.openxmlformats.org/officeDocument/2006/customXml" ds:itemID="{C2766561-8F21-43B5-9896-04651FAFA9CB}"/>
</file>

<file path=customXml/itemProps4.xml><?xml version="1.0" encoding="utf-8"?>
<ds:datastoreItem xmlns:ds="http://schemas.openxmlformats.org/officeDocument/2006/customXml" ds:itemID="{EABA5890-D7D7-4F8D-9F1C-111F4ACF1A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