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Forum Map &amp; Interfaces Guide</w:t>
      </w:r>
    </w:p>
    <w:p>
      <w:pPr>
        <w:jc w:val="center"/>
      </w:pPr>
      <w:r>
        <w:rPr>
          <w:rFonts w:ascii="Calibri" w:hAnsi="Calibri"/>
          <w:b w:val="0"/>
          <w:i/>
          <w:color w:val="556168"/>
          <w:sz w:val="25"/>
        </w:rPr>
        <w:t>How Equator sits alongside the Ombudsman, IRDAI, the commissions and the courts</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Why this guide exists</w:t>
      </w:r>
    </w:p>
    <w:p>
      <w:pPr>
        <w:spacing w:after="120"/>
        <w:jc w:val="both"/>
      </w:pPr>
      <w:r>
        <w:rPr>
          <w:rFonts w:ascii="Calibri" w:hAnsi="Calibri"/>
          <w:b w:val="0"/>
          <w:i w:val="0"/>
          <w:color w:val="1B2A32"/>
          <w:sz w:val="21"/>
        </w:rPr>
        <w:t>Insurance is the only Equator vertical in which the State has already built a free, effective, policyholder-friendly forum. Equator's legitimacy in this market depends entirely on being straight about that. This guide sets out exactly how we interface with each institution — what we say about it, what we never say, and how the sequencing works.</w:t>
      </w:r>
    </w:p>
    <w:p>
      <w:pPr>
        <w:keepNext/>
        <w:spacing w:before="280" w:after="120"/>
        <w:pBdr>
          <w:bottom w:val="single" w:sz="12" w:space="3" w:color="C6A15B"/>
        </w:pBdr>
      </w:pPr>
      <w:r>
        <w:rPr>
          <w:rFonts w:ascii="Calibri" w:hAnsi="Calibri"/>
          <w:b/>
          <w:i w:val="0"/>
          <w:color w:val="123B4F"/>
          <w:sz w:val="32"/>
        </w:rPr>
        <w:t>1.  The eight forums</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25920"/>
            <w:shd w:val="clear" w:fill="123B4F"/>
          </w:tcPr>
          <w:p>
            <w:r/>
            <w:r>
              <w:rPr>
                <w:rFonts w:ascii="Calibri" w:hAnsi="Calibri"/>
                <w:b/>
                <w:i w:val="0"/>
                <w:color w:val="FFFFFF"/>
                <w:sz w:val="18"/>
              </w:rPr>
              <w:t>Forum</w:t>
            </w:r>
          </w:p>
        </w:tc>
        <w:tc>
          <w:tcPr>
            <w:tcW w:type="dxa" w:w="34560"/>
            <w:shd w:val="clear" w:fill="123B4F"/>
          </w:tcPr>
          <w:p>
            <w:r/>
            <w:r>
              <w:rPr>
                <w:rFonts w:ascii="Calibri" w:hAnsi="Calibri"/>
                <w:b/>
                <w:i w:val="0"/>
                <w:color w:val="FFFFFF"/>
                <w:sz w:val="18"/>
              </w:rPr>
              <w:t>Decides</w:t>
            </w:r>
          </w:p>
        </w:tc>
        <w:tc>
          <w:tcPr>
            <w:tcW w:type="dxa" w:w="23040"/>
            <w:shd w:val="clear" w:fill="123B4F"/>
          </w:tcPr>
          <w:p>
            <w:r/>
            <w:r>
              <w:rPr>
                <w:rFonts w:ascii="Calibri" w:hAnsi="Calibri"/>
                <w:b/>
                <w:i w:val="0"/>
                <w:color w:val="FFFFFF"/>
                <w:sz w:val="18"/>
              </w:rPr>
              <w:t>Who</w:t>
            </w:r>
          </w:p>
        </w:tc>
        <w:tc>
          <w:tcPr>
            <w:tcW w:type="dxa" w:w="11520"/>
            <w:shd w:val="clear" w:fill="123B4F"/>
          </w:tcPr>
          <w:p>
            <w:r/>
            <w:r>
              <w:rPr>
                <w:rFonts w:ascii="Calibri" w:hAnsi="Calibri"/>
                <w:b/>
                <w:i w:val="0"/>
                <w:color w:val="FFFFFF"/>
                <w:sz w:val="18"/>
              </w:rPr>
              <w:t>Cost</w:t>
            </w:r>
          </w:p>
        </w:tc>
        <w:tc>
          <w:tcPr>
            <w:tcW w:type="dxa" w:w="18720"/>
            <w:shd w:val="clear" w:fill="123B4F"/>
          </w:tcPr>
          <w:p>
            <w:r/>
            <w:r>
              <w:rPr>
                <w:rFonts w:ascii="Calibri" w:hAnsi="Calibri"/>
                <w:b/>
                <w:i w:val="0"/>
                <w:color w:val="FFFFFF"/>
                <w:sz w:val="18"/>
              </w:rPr>
              <w:t>Speed</w:t>
            </w:r>
          </w:p>
        </w:tc>
        <w:tc>
          <w:tcPr>
            <w:tcW w:type="dxa" w:w="30240"/>
            <w:shd w:val="clear" w:fill="123B4F"/>
          </w:tcPr>
          <w:p>
            <w:r/>
            <w:r>
              <w:rPr>
                <w:rFonts w:ascii="Calibri" w:hAnsi="Calibri"/>
                <w:b/>
                <w:i w:val="0"/>
                <w:color w:val="FFFFFF"/>
                <w:sz w:val="18"/>
              </w:rPr>
              <w:t>Binds</w:t>
            </w:r>
          </w:p>
        </w:tc>
      </w:tr>
      <w:tr>
        <w:tc>
          <w:tcPr>
            <w:tcW w:type="dxa" w:w="25920"/>
          </w:tcPr>
          <w:p>
            <w:r/>
            <w:r>
              <w:rPr>
                <w:rFonts w:ascii="Calibri" w:hAnsi="Calibri"/>
                <w:b w:val="0"/>
                <w:i w:val="0"/>
                <w:color w:val="1B2A32"/>
                <w:sz w:val="18"/>
              </w:rPr>
              <w:t>Insurer grievance cell</w:t>
            </w:r>
          </w:p>
        </w:tc>
        <w:tc>
          <w:tcPr>
            <w:tcW w:type="dxa" w:w="34560"/>
          </w:tcPr>
          <w:p>
            <w:r/>
            <w:r>
              <w:rPr>
                <w:rFonts w:ascii="Calibri" w:hAnsi="Calibri"/>
                <w:b w:val="0"/>
                <w:i w:val="0"/>
                <w:color w:val="1B2A32"/>
                <w:sz w:val="18"/>
              </w:rPr>
              <w:t>Any grievance; must reply</w:t>
            </w:r>
          </w:p>
        </w:tc>
        <w:tc>
          <w:tcPr>
            <w:tcW w:type="dxa" w:w="23040"/>
          </w:tcPr>
          <w:p>
            <w:r/>
            <w:r>
              <w:rPr>
                <w:rFonts w:ascii="Calibri" w:hAnsi="Calibri"/>
                <w:b w:val="0"/>
                <w:i w:val="0"/>
                <w:color w:val="1B2A32"/>
                <w:sz w:val="18"/>
              </w:rPr>
              <w:t>Anyone</w:t>
            </w:r>
          </w:p>
        </w:tc>
        <w:tc>
          <w:tcPr>
            <w:tcW w:type="dxa" w:w="11520"/>
          </w:tcPr>
          <w:p>
            <w:r/>
            <w:r>
              <w:rPr>
                <w:rFonts w:ascii="Calibri" w:hAnsi="Calibri"/>
                <w:b w:val="0"/>
                <w:i w:val="0"/>
                <w:color w:val="1B2A32"/>
                <w:sz w:val="18"/>
              </w:rPr>
              <w:t>Free</w:t>
            </w:r>
          </w:p>
        </w:tc>
        <w:tc>
          <w:tcPr>
            <w:tcW w:type="dxa" w:w="18720"/>
          </w:tcPr>
          <w:p>
            <w:r/>
            <w:r>
              <w:rPr>
                <w:rFonts w:ascii="Calibri" w:hAnsi="Calibri"/>
                <w:b w:val="0"/>
                <w:i w:val="0"/>
                <w:color w:val="1B2A32"/>
                <w:sz w:val="18"/>
              </w:rPr>
              <w:t>30 days</w:t>
            </w:r>
          </w:p>
        </w:tc>
        <w:tc>
          <w:tcPr>
            <w:tcW w:type="dxa" w:w="30240"/>
          </w:tcPr>
          <w:p>
            <w:r/>
            <w:r>
              <w:rPr>
                <w:rFonts w:ascii="Calibri" w:hAnsi="Calibri"/>
                <w:b w:val="0"/>
                <w:i w:val="0"/>
                <w:color w:val="1B2A32"/>
                <w:sz w:val="18"/>
              </w:rPr>
              <w:t>Nobody, but it is the gateway</w:t>
            </w:r>
          </w:p>
        </w:tc>
      </w:tr>
      <w:tr>
        <w:tc>
          <w:tcPr>
            <w:tcW w:type="dxa" w:w="25920"/>
            <w:shd w:val="clear" w:fill="F3F7F9"/>
          </w:tcPr>
          <w:p>
            <w:r/>
            <w:r>
              <w:rPr>
                <w:rFonts w:ascii="Calibri" w:hAnsi="Calibri"/>
                <w:b w:val="0"/>
                <w:i w:val="0"/>
                <w:color w:val="1B2A32"/>
                <w:sz w:val="18"/>
              </w:rPr>
              <w:t>Bima Bharosa (IRDAI)</w:t>
            </w:r>
          </w:p>
        </w:tc>
        <w:tc>
          <w:tcPr>
            <w:tcW w:type="dxa" w:w="34560"/>
            <w:shd w:val="clear" w:fill="F3F7F9"/>
          </w:tcPr>
          <w:p>
            <w:r/>
            <w:r>
              <w:rPr>
                <w:rFonts w:ascii="Calibri" w:hAnsi="Calibri"/>
                <w:b w:val="0"/>
                <w:i w:val="0"/>
                <w:color w:val="1B2A32"/>
                <w:sz w:val="18"/>
              </w:rPr>
              <w:t>Routes, tracks, escalates</w:t>
            </w:r>
          </w:p>
        </w:tc>
        <w:tc>
          <w:tcPr>
            <w:tcW w:type="dxa" w:w="23040"/>
            <w:shd w:val="clear" w:fill="F3F7F9"/>
          </w:tcPr>
          <w:p>
            <w:r/>
            <w:r>
              <w:rPr>
                <w:rFonts w:ascii="Calibri" w:hAnsi="Calibri"/>
                <w:b w:val="0"/>
                <w:i w:val="0"/>
                <w:color w:val="1B2A32"/>
                <w:sz w:val="18"/>
              </w:rPr>
              <w:t>Anyone</w:t>
            </w:r>
          </w:p>
        </w:tc>
        <w:tc>
          <w:tcPr>
            <w:tcW w:type="dxa" w:w="11520"/>
            <w:shd w:val="clear" w:fill="F3F7F9"/>
          </w:tcPr>
          <w:p>
            <w:r/>
            <w:r>
              <w:rPr>
                <w:rFonts w:ascii="Calibri" w:hAnsi="Calibri"/>
                <w:b w:val="0"/>
                <w:i w:val="0"/>
                <w:color w:val="1B2A32"/>
                <w:sz w:val="18"/>
              </w:rPr>
              <w:t>Free</w:t>
            </w:r>
          </w:p>
        </w:tc>
        <w:tc>
          <w:tcPr>
            <w:tcW w:type="dxa" w:w="18720"/>
            <w:shd w:val="clear" w:fill="F3F7F9"/>
          </w:tcPr>
          <w:p>
            <w:r/>
            <w:r>
              <w:rPr>
                <w:rFonts w:ascii="Calibri" w:hAnsi="Calibri"/>
                <w:b w:val="0"/>
                <w:i w:val="0"/>
                <w:color w:val="1B2A32"/>
                <w:sz w:val="18"/>
              </w:rPr>
              <w:t>Weeks</w:t>
            </w:r>
          </w:p>
        </w:tc>
        <w:tc>
          <w:tcPr>
            <w:tcW w:type="dxa" w:w="30240"/>
            <w:shd w:val="clear" w:fill="F3F7F9"/>
          </w:tcPr>
          <w:p>
            <w:r/>
            <w:r>
              <w:rPr>
                <w:rFonts w:ascii="Calibri" w:hAnsi="Calibri"/>
                <w:b w:val="0"/>
                <w:i w:val="0"/>
                <w:color w:val="1B2A32"/>
                <w:sz w:val="18"/>
              </w:rPr>
              <w:t>Nobody</w:t>
            </w:r>
          </w:p>
        </w:tc>
      </w:tr>
      <w:tr>
        <w:tc>
          <w:tcPr>
            <w:tcW w:type="dxa" w:w="25920"/>
          </w:tcPr>
          <w:p>
            <w:r/>
            <w:r>
              <w:rPr>
                <w:rFonts w:ascii="Calibri" w:hAnsi="Calibri"/>
                <w:b w:val="0"/>
                <w:i w:val="0"/>
                <w:color w:val="1B2A32"/>
                <w:sz w:val="18"/>
              </w:rPr>
              <w:t>Internal Insurance Ombudsman (proposed)</w:t>
            </w:r>
          </w:p>
        </w:tc>
        <w:tc>
          <w:tcPr>
            <w:tcW w:type="dxa" w:w="34560"/>
          </w:tcPr>
          <w:p>
            <w:r/>
            <w:r>
              <w:rPr>
                <w:rFonts w:ascii="Calibri" w:hAnsi="Calibri"/>
                <w:b w:val="0"/>
                <w:i w:val="0"/>
                <w:color w:val="1B2A32"/>
                <w:sz w:val="18"/>
              </w:rPr>
              <w:t>Merits, to ₹50 lakh</w:t>
            </w:r>
          </w:p>
        </w:tc>
        <w:tc>
          <w:tcPr>
            <w:tcW w:type="dxa" w:w="23040"/>
          </w:tcPr>
          <w:p>
            <w:r/>
            <w:r>
              <w:rPr>
                <w:rFonts w:ascii="Calibri" w:hAnsi="Calibri"/>
                <w:b w:val="0"/>
                <w:i w:val="0"/>
                <w:color w:val="1B2A32"/>
                <w:sz w:val="18"/>
              </w:rPr>
              <w:t>Covered insurers' policyholders</w:t>
            </w:r>
          </w:p>
        </w:tc>
        <w:tc>
          <w:tcPr>
            <w:tcW w:type="dxa" w:w="11520"/>
          </w:tcPr>
          <w:p>
            <w:r/>
            <w:r>
              <w:rPr>
                <w:rFonts w:ascii="Calibri" w:hAnsi="Calibri"/>
                <w:b w:val="0"/>
                <w:i w:val="0"/>
                <w:color w:val="1B2A32"/>
                <w:sz w:val="18"/>
              </w:rPr>
              <w:t>Free</w:t>
            </w:r>
          </w:p>
        </w:tc>
        <w:tc>
          <w:tcPr>
            <w:tcW w:type="dxa" w:w="18720"/>
          </w:tcPr>
          <w:p>
            <w:r/>
            <w:r>
              <w:rPr>
                <w:rFonts w:ascii="Calibri" w:hAnsi="Calibri"/>
                <w:b w:val="0"/>
                <w:i w:val="0"/>
                <w:color w:val="1B2A32"/>
                <w:sz w:val="18"/>
              </w:rPr>
              <w:t>~15 days</w:t>
            </w:r>
          </w:p>
        </w:tc>
        <w:tc>
          <w:tcPr>
            <w:tcW w:type="dxa" w:w="30240"/>
          </w:tcPr>
          <w:p>
            <w:r/>
            <w:r>
              <w:rPr>
                <w:rFonts w:ascii="Calibri" w:hAnsi="Calibri"/>
                <w:b w:val="0"/>
                <w:i w:val="0"/>
                <w:color w:val="1B2A32"/>
                <w:sz w:val="18"/>
              </w:rPr>
              <w:t xml:space="preserve">The insurer </w:t>
            </w:r>
            <w:r>
              <w:rPr>
                <w:rFonts w:ascii="Calibri" w:hAnsi="Calibri"/>
                <w:b/>
                <w:i w:val="0"/>
                <w:color w:val="1B2A32"/>
                <w:sz w:val="18"/>
              </w:rPr>
              <w:t>[verify]</w:t>
            </w:r>
          </w:p>
        </w:tc>
      </w:tr>
      <w:tr>
        <w:tc>
          <w:tcPr>
            <w:tcW w:type="dxa" w:w="25920"/>
            <w:shd w:val="clear" w:fill="F3F7F9"/>
          </w:tcPr>
          <w:p>
            <w:r/>
            <w:r>
              <w:rPr>
                <w:rFonts w:ascii="Calibri" w:hAnsi="Calibri"/>
                <w:b w:val="0"/>
                <w:i w:val="0"/>
                <w:color w:val="1B2A32"/>
                <w:sz w:val="18"/>
              </w:rPr>
              <w:t>Insurance Ombudsman</w:t>
            </w:r>
          </w:p>
        </w:tc>
        <w:tc>
          <w:tcPr>
            <w:tcW w:type="dxa" w:w="34560"/>
            <w:shd w:val="clear" w:fill="F3F7F9"/>
          </w:tcPr>
          <w:p>
            <w:r/>
            <w:r>
              <w:rPr>
                <w:rFonts w:ascii="Calibri" w:hAnsi="Calibri"/>
                <w:b w:val="0"/>
                <w:i w:val="0"/>
                <w:color w:val="1B2A32"/>
                <w:sz w:val="18"/>
              </w:rPr>
              <w:t>Claim, delay, premium, mis-selling, deficiency</w:t>
            </w:r>
          </w:p>
        </w:tc>
        <w:tc>
          <w:tcPr>
            <w:tcW w:type="dxa" w:w="23040"/>
            <w:shd w:val="clear" w:fill="F3F7F9"/>
          </w:tcPr>
          <w:p>
            <w:r/>
            <w:r>
              <w:rPr>
                <w:rFonts w:ascii="Calibri" w:hAnsi="Calibri"/>
                <w:b w:val="0"/>
                <w:i w:val="0"/>
                <w:color w:val="1B2A32"/>
                <w:sz w:val="18"/>
              </w:rPr>
              <w:t>Individuals, to ₹50 lakh</w:t>
            </w:r>
          </w:p>
        </w:tc>
        <w:tc>
          <w:tcPr>
            <w:tcW w:type="dxa" w:w="11520"/>
            <w:shd w:val="clear" w:fill="F3F7F9"/>
          </w:tcPr>
          <w:p>
            <w:r/>
            <w:r>
              <w:rPr>
                <w:rFonts w:ascii="Calibri" w:hAnsi="Calibri"/>
                <w:b w:val="0"/>
                <w:i w:val="0"/>
                <w:color w:val="1B2A32"/>
                <w:sz w:val="18"/>
              </w:rPr>
              <w:t>Free</w:t>
            </w:r>
          </w:p>
        </w:tc>
        <w:tc>
          <w:tcPr>
            <w:tcW w:type="dxa" w:w="18720"/>
            <w:shd w:val="clear" w:fill="F3F7F9"/>
          </w:tcPr>
          <w:p>
            <w:r/>
            <w:r>
              <w:rPr>
                <w:rFonts w:ascii="Calibri" w:hAnsi="Calibri"/>
                <w:b w:val="0"/>
                <w:i w:val="0"/>
                <w:color w:val="1B2A32"/>
                <w:sz w:val="18"/>
              </w:rPr>
              <w:t>~3 months</w:t>
            </w:r>
          </w:p>
        </w:tc>
        <w:tc>
          <w:tcPr>
            <w:tcW w:type="dxa" w:w="30240"/>
            <w:shd w:val="clear" w:fill="F3F7F9"/>
          </w:tcPr>
          <w:p>
            <w:r/>
            <w:r>
              <w:rPr>
                <w:rFonts w:ascii="Calibri" w:hAnsi="Calibri"/>
                <w:b w:val="0"/>
                <w:i w:val="0"/>
                <w:color w:val="1B2A32"/>
                <w:sz w:val="18"/>
              </w:rPr>
              <w:t>Insurer to ₹30 lakh; not the complainant</w:t>
            </w:r>
          </w:p>
        </w:tc>
      </w:tr>
      <w:tr>
        <w:tc>
          <w:tcPr>
            <w:tcW w:type="dxa" w:w="25920"/>
          </w:tcPr>
          <w:p>
            <w:r/>
            <w:r>
              <w:rPr>
                <w:rFonts w:ascii="Calibri" w:hAnsi="Calibri"/>
                <w:b w:val="0"/>
                <w:i w:val="0"/>
                <w:color w:val="1B2A32"/>
                <w:sz w:val="18"/>
              </w:rPr>
              <w:t>Consumer commissions</w:t>
            </w:r>
          </w:p>
        </w:tc>
        <w:tc>
          <w:tcPr>
            <w:tcW w:type="dxa" w:w="34560"/>
          </w:tcPr>
          <w:p>
            <w:r/>
            <w:r>
              <w:rPr>
                <w:rFonts w:ascii="Calibri" w:hAnsi="Calibri"/>
                <w:b w:val="0"/>
                <w:i w:val="0"/>
                <w:color w:val="1B2A32"/>
                <w:sz w:val="18"/>
              </w:rPr>
              <w:t>Deficiency; compensation</w:t>
            </w:r>
          </w:p>
        </w:tc>
        <w:tc>
          <w:tcPr>
            <w:tcW w:type="dxa" w:w="23040"/>
          </w:tcPr>
          <w:p>
            <w:r/>
            <w:r>
              <w:rPr>
                <w:rFonts w:ascii="Calibri" w:hAnsi="Calibri"/>
                <w:b w:val="0"/>
                <w:i w:val="0"/>
                <w:color w:val="1B2A32"/>
                <w:sz w:val="18"/>
              </w:rPr>
              <w:t>Consumers by tier</w:t>
            </w:r>
          </w:p>
        </w:tc>
        <w:tc>
          <w:tcPr>
            <w:tcW w:type="dxa" w:w="11520"/>
          </w:tcPr>
          <w:p>
            <w:r/>
            <w:r>
              <w:rPr>
                <w:rFonts w:ascii="Calibri" w:hAnsi="Calibri"/>
                <w:b w:val="0"/>
                <w:i w:val="0"/>
                <w:color w:val="1B2A32"/>
                <w:sz w:val="18"/>
              </w:rPr>
              <w:t>Low</w:t>
            </w:r>
          </w:p>
        </w:tc>
        <w:tc>
          <w:tcPr>
            <w:tcW w:type="dxa" w:w="18720"/>
          </w:tcPr>
          <w:p>
            <w:r/>
            <w:r>
              <w:rPr>
                <w:rFonts w:ascii="Calibri" w:hAnsi="Calibri"/>
                <w:b w:val="0"/>
                <w:i w:val="0"/>
                <w:color w:val="1B2A32"/>
                <w:sz w:val="18"/>
              </w:rPr>
              <w:t>Months–years</w:t>
            </w:r>
          </w:p>
        </w:tc>
        <w:tc>
          <w:tcPr>
            <w:tcW w:type="dxa" w:w="30240"/>
          </w:tcPr>
          <w:p>
            <w:r/>
            <w:r>
              <w:rPr>
                <w:rFonts w:ascii="Calibri" w:hAnsi="Calibri"/>
                <w:b w:val="0"/>
                <w:i w:val="0"/>
                <w:color w:val="1B2A32"/>
                <w:sz w:val="18"/>
              </w:rPr>
              <w:t>Both, on appeal</w:t>
            </w:r>
          </w:p>
        </w:tc>
      </w:tr>
      <w:tr>
        <w:tc>
          <w:tcPr>
            <w:tcW w:type="dxa" w:w="25920"/>
            <w:shd w:val="clear" w:fill="F3F7F9"/>
          </w:tcPr>
          <w:p>
            <w:r/>
            <w:r>
              <w:rPr>
                <w:rFonts w:ascii="Calibri" w:hAnsi="Calibri"/>
                <w:b w:val="0"/>
                <w:i w:val="0"/>
                <w:color w:val="1B2A32"/>
                <w:sz w:val="18"/>
              </w:rPr>
              <w:t>Civil court</w:t>
            </w:r>
          </w:p>
        </w:tc>
        <w:tc>
          <w:tcPr>
            <w:tcW w:type="dxa" w:w="34560"/>
            <w:shd w:val="clear" w:fill="F3F7F9"/>
          </w:tcPr>
          <w:p>
            <w:r/>
            <w:r>
              <w:rPr>
                <w:rFonts w:ascii="Calibri" w:hAnsi="Calibri"/>
                <w:b w:val="0"/>
                <w:i w:val="0"/>
                <w:color w:val="1B2A32"/>
                <w:sz w:val="18"/>
              </w:rPr>
              <w:t>Anything</w:t>
            </w:r>
          </w:p>
        </w:tc>
        <w:tc>
          <w:tcPr>
            <w:tcW w:type="dxa" w:w="23040"/>
            <w:shd w:val="clear" w:fill="F3F7F9"/>
          </w:tcPr>
          <w:p>
            <w:r/>
            <w:r>
              <w:rPr>
                <w:rFonts w:ascii="Calibri" w:hAnsi="Calibri"/>
                <w:b w:val="0"/>
                <w:i w:val="0"/>
                <w:color w:val="1B2A32"/>
                <w:sz w:val="18"/>
              </w:rPr>
              <w:t>Anyone</w:t>
            </w:r>
          </w:p>
        </w:tc>
        <w:tc>
          <w:tcPr>
            <w:tcW w:type="dxa" w:w="11520"/>
            <w:shd w:val="clear" w:fill="F3F7F9"/>
          </w:tcPr>
          <w:p>
            <w:r/>
            <w:r>
              <w:rPr>
                <w:rFonts w:ascii="Calibri" w:hAnsi="Calibri"/>
                <w:b w:val="0"/>
                <w:i w:val="0"/>
                <w:color w:val="1B2A32"/>
                <w:sz w:val="18"/>
              </w:rPr>
              <w:t>High</w:t>
            </w:r>
          </w:p>
        </w:tc>
        <w:tc>
          <w:tcPr>
            <w:tcW w:type="dxa" w:w="18720"/>
            <w:shd w:val="clear" w:fill="F3F7F9"/>
          </w:tcPr>
          <w:p>
            <w:r/>
            <w:r>
              <w:rPr>
                <w:rFonts w:ascii="Calibri" w:hAnsi="Calibri"/>
                <w:b w:val="0"/>
                <w:i w:val="0"/>
                <w:color w:val="1B2A32"/>
                <w:sz w:val="18"/>
              </w:rPr>
              <w:t>Years</w:t>
            </w:r>
          </w:p>
        </w:tc>
        <w:tc>
          <w:tcPr>
            <w:tcW w:type="dxa" w:w="30240"/>
            <w:shd w:val="clear" w:fill="F3F7F9"/>
          </w:tcPr>
          <w:p>
            <w:r/>
            <w:r>
              <w:rPr>
                <w:rFonts w:ascii="Calibri" w:hAnsi="Calibri"/>
                <w:b w:val="0"/>
                <w:i w:val="0"/>
                <w:color w:val="1B2A32"/>
                <w:sz w:val="18"/>
              </w:rPr>
              <w:t>Both, on appeal</w:t>
            </w:r>
          </w:p>
        </w:tc>
      </w:tr>
      <w:tr>
        <w:tc>
          <w:tcPr>
            <w:tcW w:type="dxa" w:w="25920"/>
          </w:tcPr>
          <w:p>
            <w:r/>
            <w:r>
              <w:rPr>
                <w:rFonts w:ascii="Calibri" w:hAnsi="Calibri"/>
                <w:b w:val="0"/>
                <w:i w:val="0"/>
                <w:color w:val="1B2A32"/>
                <w:sz w:val="18"/>
              </w:rPr>
              <w:t>Arbitration</w:t>
            </w:r>
          </w:p>
        </w:tc>
        <w:tc>
          <w:tcPr>
            <w:tcW w:type="dxa" w:w="34560"/>
          </w:tcPr>
          <w:p>
            <w:r/>
            <w:r>
              <w:rPr>
                <w:rFonts w:ascii="Calibri" w:hAnsi="Calibri"/>
                <w:b w:val="0"/>
                <w:i w:val="0"/>
                <w:color w:val="1B2A32"/>
                <w:sz w:val="18"/>
              </w:rPr>
              <w:t>Commercial only, on separate agreement</w:t>
            </w:r>
          </w:p>
        </w:tc>
        <w:tc>
          <w:tcPr>
            <w:tcW w:type="dxa" w:w="23040"/>
          </w:tcPr>
          <w:p>
            <w:r/>
            <w:r>
              <w:rPr>
                <w:rFonts w:ascii="Calibri" w:hAnsi="Calibri"/>
                <w:b w:val="0"/>
                <w:i w:val="0"/>
                <w:color w:val="1B2A32"/>
                <w:sz w:val="18"/>
              </w:rPr>
              <w:t>Commercial parties</w:t>
            </w:r>
          </w:p>
        </w:tc>
        <w:tc>
          <w:tcPr>
            <w:tcW w:type="dxa" w:w="11520"/>
          </w:tcPr>
          <w:p>
            <w:r/>
            <w:r>
              <w:rPr>
                <w:rFonts w:ascii="Calibri" w:hAnsi="Calibri"/>
                <w:b w:val="0"/>
                <w:i w:val="0"/>
                <w:color w:val="1B2A32"/>
                <w:sz w:val="18"/>
              </w:rPr>
              <w:t>High</w:t>
            </w:r>
          </w:p>
        </w:tc>
        <w:tc>
          <w:tcPr>
            <w:tcW w:type="dxa" w:w="18720"/>
          </w:tcPr>
          <w:p>
            <w:r/>
            <w:r>
              <w:rPr>
                <w:rFonts w:ascii="Calibri" w:hAnsi="Calibri"/>
                <w:b w:val="0"/>
                <w:i w:val="0"/>
                <w:color w:val="1B2A32"/>
                <w:sz w:val="18"/>
              </w:rPr>
              <w:t>12–18 months</w:t>
            </w:r>
          </w:p>
        </w:tc>
        <w:tc>
          <w:tcPr>
            <w:tcW w:type="dxa" w:w="30240"/>
          </w:tcPr>
          <w:p>
            <w:r/>
            <w:r>
              <w:rPr>
                <w:rFonts w:ascii="Calibri" w:hAnsi="Calibri"/>
                <w:b w:val="0"/>
                <w:i w:val="0"/>
                <w:color w:val="1B2A32"/>
                <w:sz w:val="18"/>
              </w:rPr>
              <w:t>Both; s.34 challenge only</w:t>
            </w:r>
          </w:p>
        </w:tc>
      </w:tr>
      <w:tr>
        <w:tc>
          <w:tcPr>
            <w:tcW w:type="dxa" w:w="25920"/>
            <w:shd w:val="clear" w:fill="F3F7F9"/>
          </w:tcPr>
          <w:p>
            <w:r/>
            <w:r>
              <w:rPr>
                <w:rFonts w:ascii="Calibri" w:hAnsi="Calibri"/>
                <w:b w:val="0"/>
                <w:i w:val="0"/>
                <w:color w:val="1B2A32"/>
                <w:sz w:val="18"/>
              </w:rPr>
              <w:t>Motor Accidents Claims Tribunal</w:t>
            </w:r>
          </w:p>
        </w:tc>
        <w:tc>
          <w:tcPr>
            <w:tcW w:type="dxa" w:w="34560"/>
            <w:shd w:val="clear" w:fill="F3F7F9"/>
          </w:tcPr>
          <w:p>
            <w:r/>
            <w:r>
              <w:rPr>
                <w:rFonts w:ascii="Calibri" w:hAnsi="Calibri"/>
                <w:b w:val="0"/>
                <w:i w:val="0"/>
                <w:color w:val="1B2A32"/>
                <w:sz w:val="18"/>
              </w:rPr>
              <w:t>Third-party injury/death</w:t>
            </w:r>
          </w:p>
        </w:tc>
        <w:tc>
          <w:tcPr>
            <w:tcW w:type="dxa" w:w="23040"/>
            <w:shd w:val="clear" w:fill="F3F7F9"/>
          </w:tcPr>
          <w:p>
            <w:r/>
            <w:r>
              <w:rPr>
                <w:rFonts w:ascii="Calibri" w:hAnsi="Calibri"/>
                <w:b w:val="0"/>
                <w:i w:val="0"/>
                <w:color w:val="1B2A32"/>
                <w:sz w:val="18"/>
              </w:rPr>
              <w:t>Victims, dependants</w:t>
            </w:r>
          </w:p>
        </w:tc>
        <w:tc>
          <w:tcPr>
            <w:tcW w:type="dxa" w:w="11520"/>
            <w:shd w:val="clear" w:fill="F3F7F9"/>
          </w:tcPr>
          <w:p>
            <w:r/>
            <w:r>
              <w:rPr>
                <w:rFonts w:ascii="Calibri" w:hAnsi="Calibri"/>
                <w:b w:val="0"/>
                <w:i w:val="0"/>
                <w:color w:val="1B2A32"/>
                <w:sz w:val="18"/>
              </w:rPr>
              <w:t>Low</w:t>
            </w:r>
          </w:p>
        </w:tc>
        <w:tc>
          <w:tcPr>
            <w:tcW w:type="dxa" w:w="18720"/>
            <w:shd w:val="clear" w:fill="F3F7F9"/>
          </w:tcPr>
          <w:p>
            <w:r/>
            <w:r>
              <w:rPr>
                <w:rFonts w:ascii="Calibri" w:hAnsi="Calibri"/>
                <w:b w:val="0"/>
                <w:i w:val="0"/>
                <w:color w:val="1B2A32"/>
                <w:sz w:val="18"/>
              </w:rPr>
              <w:t>Months–years</w:t>
            </w:r>
          </w:p>
        </w:tc>
        <w:tc>
          <w:tcPr>
            <w:tcW w:type="dxa" w:w="30240"/>
            <w:shd w:val="clear" w:fill="F3F7F9"/>
          </w:tcPr>
          <w:p>
            <w:r/>
            <w:r>
              <w:rPr>
                <w:rFonts w:ascii="Calibri" w:hAnsi="Calibri"/>
                <w:b w:val="0"/>
                <w:i w:val="0"/>
                <w:color w:val="1B2A32"/>
                <w:sz w:val="18"/>
              </w:rPr>
              <w:t>Both, on appeal</w:t>
            </w:r>
          </w:p>
        </w:tc>
      </w:tr>
    </w:tbl>
    <w:p>
      <w:pPr>
        <w:spacing w:after="40"/>
      </w:pPr>
    </w:p>
    <w:p>
      <w:pPr>
        <w:keepNext/>
        <w:spacing w:before="280" w:after="120"/>
        <w:pBdr>
          <w:bottom w:val="single" w:sz="12" w:space="3" w:color="C6A15B"/>
        </w:pBdr>
      </w:pPr>
      <w:r>
        <w:rPr>
          <w:rFonts w:ascii="Calibri" w:hAnsi="Calibri"/>
          <w:b/>
          <w:i w:val="0"/>
          <w:color w:val="123B4F"/>
          <w:sz w:val="32"/>
        </w:rPr>
        <w:t>2.  Interface rules — what we do at each institution</w:t>
      </w:r>
    </w:p>
    <w:p>
      <w:pPr>
        <w:keepNext/>
        <w:spacing w:before="200" w:after="60"/>
      </w:pPr>
      <w:r>
        <w:rPr>
          <w:rFonts w:ascii="Calibri" w:hAnsi="Calibri"/>
          <w:b/>
          <w:i w:val="0"/>
          <w:color w:val="1E7A8C"/>
          <w:sz w:val="25"/>
        </w:rPr>
        <w:t>2.1  Insurer grievance cell</w:t>
      </w:r>
    </w:p>
    <w:p>
      <w:pPr>
        <w:pStyle w:val="ListBullet"/>
        <w:spacing w:after="60"/>
        <w:jc w:val="both"/>
      </w:pPr>
      <w:r>
        <w:rPr>
          <w:rFonts w:ascii="Calibri" w:hAnsi="Calibri"/>
          <w:b w:val="0"/>
          <w:i w:val="0"/>
          <w:color w:val="1B2A32"/>
          <w:sz w:val="21"/>
        </w:rPr>
        <w:t>We help the party write it (Form F-I04) and we diarise the 30 days.</w:t>
      </w:r>
    </w:p>
    <w:p>
      <w:pPr>
        <w:pStyle w:val="ListBullet"/>
        <w:spacing w:after="60"/>
        <w:jc w:val="both"/>
      </w:pPr>
      <w:r>
        <w:rPr>
          <w:rFonts w:ascii="Calibri" w:hAnsi="Calibri"/>
          <w:b w:val="0"/>
          <w:i w:val="0"/>
          <w:color w:val="1B2A32"/>
          <w:sz w:val="21"/>
        </w:rPr>
        <w:t xml:space="preserve">We do </w:t>
      </w:r>
      <w:r>
        <w:rPr>
          <w:rFonts w:ascii="Calibri" w:hAnsi="Calibri"/>
          <w:b/>
          <w:i w:val="0"/>
          <w:color w:val="1B2A32"/>
          <w:sz w:val="21"/>
        </w:rPr>
        <w:t>not</w:t>
      </w:r>
      <w:r>
        <w:rPr>
          <w:rFonts w:ascii="Calibri" w:hAnsi="Calibri"/>
          <w:b w:val="0"/>
          <w:i w:val="0"/>
          <w:color w:val="1B2A32"/>
          <w:sz w:val="21"/>
        </w:rPr>
        <w:t xml:space="preserve"> write to the insurer in a way that suggests Equator is acting for the policyholder. We are neutral.</w:t>
      </w:r>
    </w:p>
    <w:p>
      <w:pPr>
        <w:pStyle w:val="ListBullet"/>
        <w:spacing w:after="60"/>
        <w:jc w:val="both"/>
      </w:pPr>
      <w:r>
        <w:rPr>
          <w:rFonts w:ascii="Calibri" w:hAnsi="Calibri"/>
          <w:b w:val="0"/>
          <w:i w:val="0"/>
          <w:color w:val="1B2A32"/>
          <w:sz w:val="21"/>
        </w:rPr>
        <w:t>Where an institutional protocol exists, the notice goes to the nominated single point of contact.</w:t>
      </w:r>
    </w:p>
    <w:p>
      <w:pPr>
        <w:keepNext/>
        <w:spacing w:before="200" w:after="60"/>
      </w:pPr>
      <w:r>
        <w:rPr>
          <w:rFonts w:ascii="Calibri" w:hAnsi="Calibri"/>
          <w:b/>
          <w:i w:val="0"/>
          <w:color w:val="1E7A8C"/>
          <w:sz w:val="25"/>
        </w:rPr>
        <w:t>2.2  Bima Bharosa / IRDAI</w:t>
      </w:r>
    </w:p>
    <w:p>
      <w:pPr>
        <w:pStyle w:val="ListBullet"/>
        <w:spacing w:after="60"/>
        <w:jc w:val="both"/>
      </w:pPr>
      <w:r>
        <w:rPr>
          <w:rFonts w:ascii="Calibri" w:hAnsi="Calibri"/>
          <w:b w:val="0"/>
          <w:i w:val="0"/>
          <w:color w:val="1B2A32"/>
          <w:sz w:val="21"/>
        </w:rPr>
        <w:t>We prompt every retail party to register and we store the token on the case record.</w:t>
      </w:r>
    </w:p>
    <w:p>
      <w:pPr>
        <w:pStyle w:val="ListBullet"/>
        <w:spacing w:after="60"/>
        <w:jc w:val="both"/>
      </w:pPr>
      <w:r>
        <w:rPr>
          <w:rFonts w:ascii="Calibri" w:hAnsi="Calibri"/>
          <w:b w:val="0"/>
          <w:i w:val="0"/>
          <w:color w:val="1B2A32"/>
          <w:sz w:val="21"/>
        </w:rPr>
        <w:t xml:space="preserve">We do </w:t>
      </w:r>
      <w:r>
        <w:rPr>
          <w:rFonts w:ascii="Calibri" w:hAnsi="Calibri"/>
          <w:b/>
          <w:i w:val="0"/>
          <w:color w:val="1B2A32"/>
          <w:sz w:val="21"/>
        </w:rPr>
        <w:t>not</w:t>
      </w:r>
      <w:r>
        <w:rPr>
          <w:rFonts w:ascii="Calibri" w:hAnsi="Calibri"/>
          <w:b w:val="0"/>
          <w:i w:val="0"/>
          <w:color w:val="1B2A32"/>
          <w:sz w:val="21"/>
        </w:rPr>
        <w:t xml:space="preserve"> file on the party's behalf, and we do not hold ourselves out as having any standing with IRDAI.</w:t>
      </w:r>
    </w:p>
    <w:p>
      <w:pPr>
        <w:pStyle w:val="ListBullet"/>
        <w:spacing w:after="60"/>
        <w:jc w:val="both"/>
      </w:pPr>
      <w:r>
        <w:rPr>
          <w:rFonts w:ascii="Calibri" w:hAnsi="Calibri"/>
          <w:b w:val="0"/>
          <w:i w:val="0"/>
          <w:color w:val="1B2A32"/>
          <w:sz w:val="21"/>
        </w:rPr>
        <w:t>We never suggest that a matter registered with us is “with the regulator”.</w:t>
      </w:r>
    </w:p>
    <w:p>
      <w:pPr>
        <w:keepNext/>
        <w:spacing w:before="200" w:after="60"/>
      </w:pPr>
      <w:r>
        <w:rPr>
          <w:rFonts w:ascii="Calibri" w:hAnsi="Calibri"/>
          <w:b/>
          <w:i w:val="0"/>
          <w:color w:val="1E7A8C"/>
          <w:sz w:val="25"/>
        </w:rPr>
        <w:t>2.3  The Insurance Ombudsman</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THE INTERFACE RULE</w:t>
            </w:r>
          </w:p>
          <w:p>
            <w:r>
              <w:rPr>
                <w:rFonts w:ascii="Calibri" w:hAnsi="Calibri"/>
                <w:b w:val="0"/>
                <w:i w:val="0"/>
                <w:color w:val="1B2A32"/>
                <w:sz w:val="19"/>
              </w:rPr>
              <w:t xml:space="preserve">Mediate </w:t>
            </w:r>
            <w:r>
              <w:rPr>
                <w:rFonts w:ascii="Calibri" w:hAnsi="Calibri"/>
                <w:b/>
                <w:i w:val="0"/>
                <w:color w:val="1B2A32"/>
                <w:sz w:val="19"/>
              </w:rPr>
              <w:t>early and in parallel with, or ahead of, the Ombudsman filing</w:t>
            </w:r>
            <w:r>
              <w:rPr>
                <w:rFonts w:ascii="Calibri" w:hAnsi="Calibri"/>
                <w:b w:val="0"/>
                <w:i w:val="0"/>
                <w:color w:val="1B2A32"/>
                <w:sz w:val="19"/>
              </w:rPr>
              <w:t xml:space="preserve"> — never instead of it, and never so late that the one-year window closes. At intake, compute the last date and give it in writing. If the matter has not settled </w:t>
            </w:r>
            <w:r>
              <w:rPr>
                <w:rFonts w:ascii="Calibri" w:hAnsi="Calibri"/>
                <w:b/>
                <w:i w:val="0"/>
                <w:color w:val="1B2A32"/>
                <w:sz w:val="19"/>
              </w:rPr>
              <w:t>60 days before</w:t>
            </w:r>
            <w:r>
              <w:rPr>
                <w:rFonts w:ascii="Calibri" w:hAnsi="Calibri"/>
                <w:b w:val="0"/>
                <w:i w:val="0"/>
                <w:color w:val="1B2A32"/>
                <w:sz w:val="19"/>
              </w:rPr>
              <w:t xml:space="preserve"> that date, prompt the party to file, help them with Form F-I07, and record that you did. Note that an Ombudsman complaint is not itself a statutory bar in the way a court, consumer commission or arbitration is — but a pending court or commission case </w:t>
            </w:r>
            <w:r>
              <w:rPr>
                <w:rFonts w:ascii="Calibri" w:hAnsi="Calibri"/>
                <w:b/>
                <w:i w:val="0"/>
                <w:color w:val="1B2A32"/>
                <w:sz w:val="19"/>
              </w:rPr>
              <w:t>is</w:t>
            </w:r>
            <w:r>
              <w:rPr>
                <w:rFonts w:ascii="Calibri" w:hAnsi="Calibri"/>
                <w:b w:val="0"/>
                <w:i w:val="0"/>
                <w:color w:val="1B2A32"/>
                <w:sz w:val="19"/>
              </w:rPr>
              <w:t>, so a party who has already filed in a consumer commission cannot then go to the Ombudsman on the same subject-matter.</w:t>
            </w:r>
          </w:p>
        </w:tc>
      </w:tr>
    </w:tbl>
    <w:p>
      <w:pPr>
        <w:spacing w:after="40"/>
      </w:pPr>
    </w:p>
    <w:p>
      <w:pPr>
        <w:pStyle w:val="ListBullet"/>
        <w:spacing w:after="60"/>
        <w:jc w:val="both"/>
      </w:pPr>
      <w:r>
        <w:rPr>
          <w:rFonts w:ascii="Calibri" w:hAnsi="Calibri"/>
          <w:b w:val="0"/>
          <w:i w:val="0"/>
          <w:color w:val="1B2A32"/>
          <w:sz w:val="21"/>
        </w:rPr>
        <w:t xml:space="preserve">Where a complaint is already pending before the Ombudsman and the matter settles at Equator, seek </w:t>
      </w:r>
      <w:r>
        <w:rPr>
          <w:rFonts w:ascii="Calibri" w:hAnsi="Calibri"/>
          <w:b/>
          <w:i w:val="0"/>
          <w:color w:val="1B2A32"/>
          <w:sz w:val="21"/>
        </w:rPr>
        <w:t>disposal in terms of the settlement</w:t>
      </w:r>
      <w:r>
        <w:rPr>
          <w:rFonts w:ascii="Calibri" w:hAnsi="Calibri"/>
          <w:b w:val="0"/>
          <w:i w:val="0"/>
          <w:color w:val="1B2A32"/>
          <w:sz w:val="21"/>
        </w:rPr>
        <w:t xml:space="preserve"> rather than withdrawal.</w:t>
      </w:r>
    </w:p>
    <w:p>
      <w:pPr>
        <w:pStyle w:val="ListBullet"/>
        <w:spacing w:after="60"/>
        <w:jc w:val="both"/>
      </w:pPr>
      <w:r>
        <w:rPr>
          <w:rFonts w:ascii="Calibri" w:hAnsi="Calibri"/>
          <w:b w:val="0"/>
          <w:i w:val="0"/>
          <w:color w:val="1B2A32"/>
          <w:sz w:val="21"/>
        </w:rPr>
        <w:t>We do not describe ourselves as an alternative to the Ombudsman. We are an addition to it.</w:t>
      </w:r>
    </w:p>
    <w:p>
      <w:pPr>
        <w:pStyle w:val="ListBullet"/>
        <w:spacing w:after="60"/>
        <w:jc w:val="both"/>
      </w:pPr>
      <w:r>
        <w:rPr>
          <w:rFonts w:ascii="Calibri" w:hAnsi="Calibri"/>
          <w:b w:val="0"/>
          <w:i w:val="0"/>
          <w:color w:val="1B2A32"/>
          <w:sz w:val="21"/>
        </w:rPr>
        <w:t>We never discourage a party from filing. Discouraging a filing to preserve a mediation is a dismissal offence.</w:t>
      </w:r>
    </w:p>
    <w:p>
      <w:pPr>
        <w:keepNext/>
        <w:spacing w:before="200" w:after="60"/>
      </w:pPr>
      <w:r>
        <w:rPr>
          <w:rFonts w:ascii="Calibri" w:hAnsi="Calibri"/>
          <w:b/>
          <w:i w:val="0"/>
          <w:color w:val="1E7A8C"/>
          <w:sz w:val="25"/>
        </w:rPr>
        <w:t>2.4  Consumer commissions</w:t>
      </w:r>
    </w:p>
    <w:p>
      <w:pPr>
        <w:pStyle w:val="ListBullet"/>
        <w:spacing w:after="60"/>
        <w:jc w:val="both"/>
      </w:pPr>
      <w:r>
        <w:rPr>
          <w:rFonts w:ascii="Calibri" w:hAnsi="Calibri"/>
          <w:b w:val="0"/>
          <w:i w:val="0"/>
          <w:color w:val="1B2A32"/>
          <w:sz w:val="21"/>
        </w:rPr>
        <w:t>We explain the sequencing consequence before the party files, not after.</w:t>
      </w:r>
    </w:p>
    <w:p>
      <w:pPr>
        <w:pStyle w:val="ListBullet"/>
        <w:spacing w:after="60"/>
        <w:jc w:val="both"/>
      </w:pPr>
      <w:r>
        <w:rPr>
          <w:rFonts w:ascii="Calibri" w:hAnsi="Calibri"/>
          <w:b w:val="0"/>
          <w:i w:val="0"/>
          <w:color w:val="1B2A32"/>
          <w:sz w:val="21"/>
        </w:rPr>
        <w:t>We correct, on the record, any suggestion by an insurer that an arbitration clause ousts the consumer remedy.</w:t>
      </w:r>
    </w:p>
    <w:p>
      <w:pPr>
        <w:pStyle w:val="ListBullet"/>
        <w:spacing w:after="60"/>
        <w:jc w:val="both"/>
      </w:pPr>
      <w:r>
        <w:rPr>
          <w:rFonts w:ascii="Calibri" w:hAnsi="Calibri"/>
          <w:b w:val="0"/>
          <w:i w:val="0"/>
          <w:color w:val="1B2A32"/>
          <w:sz w:val="21"/>
        </w:rPr>
        <w:t>Where a commission has referred a matter to mediation, we administer it under the commission's directions.</w:t>
      </w:r>
    </w:p>
    <w:p>
      <w:pPr>
        <w:keepNext/>
        <w:spacing w:before="200" w:after="60"/>
      </w:pPr>
      <w:r>
        <w:rPr>
          <w:rFonts w:ascii="Calibri" w:hAnsi="Calibri"/>
          <w:b/>
          <w:i w:val="0"/>
          <w:color w:val="1E7A8C"/>
          <w:sz w:val="25"/>
        </w:rPr>
        <w:t>2.5  Motor Accidents Claims Tribunal</w:t>
      </w:r>
    </w:p>
    <w:p>
      <w:pPr>
        <w:spacing w:after="120"/>
        <w:jc w:val="both"/>
      </w:pPr>
      <w:r>
        <w:rPr>
          <w:rFonts w:ascii="Calibri" w:hAnsi="Calibri"/>
          <w:b w:val="0"/>
          <w:i w:val="0"/>
          <w:color w:val="1B2A32"/>
          <w:sz w:val="21"/>
        </w:rPr>
        <w:t>Third-party injury and death claims are outside these Rules. We signpost, we do not register, and we do not charge. Where the tribunal and both parties wish, we may mediate quantum.</w:t>
      </w:r>
    </w:p>
    <w:p>
      <w:pPr>
        <w:keepNext/>
        <w:spacing w:before="200" w:after="60"/>
      </w:pPr>
      <w:r>
        <w:rPr>
          <w:rFonts w:ascii="Calibri" w:hAnsi="Calibri"/>
          <w:b/>
          <w:i w:val="0"/>
          <w:color w:val="1E7A8C"/>
          <w:sz w:val="25"/>
        </w:rPr>
        <w:t>2.6  Courts</w:t>
      </w:r>
    </w:p>
    <w:p>
      <w:pPr>
        <w:spacing w:after="120"/>
        <w:jc w:val="both"/>
      </w:pPr>
      <w:r>
        <w:rPr>
          <w:rFonts w:ascii="Calibri" w:hAnsi="Calibri"/>
          <w:b w:val="0"/>
          <w:i w:val="0"/>
          <w:color w:val="1B2A32"/>
          <w:sz w:val="21"/>
        </w:rPr>
        <w:t>Court-referred mediation is administered under the referring court's directions and its timetable, not ours. The model court-referral MoU at the platform level applies.</w:t>
      </w:r>
    </w:p>
    <w:p>
      <w:pPr>
        <w:keepNext/>
        <w:spacing w:before="280" w:after="120"/>
        <w:pBdr>
          <w:bottom w:val="single" w:sz="12" w:space="3" w:color="C6A15B"/>
        </w:pBdr>
      </w:pPr>
      <w:r>
        <w:rPr>
          <w:rFonts w:ascii="Calibri" w:hAnsi="Calibri"/>
          <w:b/>
          <w:i w:val="0"/>
          <w:color w:val="123B4F"/>
          <w:sz w:val="32"/>
        </w:rPr>
        <w:t>3.  The sequencing decision tree</w:t>
      </w:r>
    </w:p>
    <w:p>
      <w:pPr>
        <w:pStyle w:val="ListNumber"/>
        <w:spacing w:after="60"/>
        <w:jc w:val="both"/>
      </w:pPr>
      <w:r>
        <w:rPr>
          <w:rFonts w:ascii="Calibri" w:hAnsi="Calibri"/>
          <w:b w:val="0"/>
          <w:i w:val="0"/>
          <w:color w:val="1B2A32"/>
          <w:sz w:val="21"/>
        </w:rPr>
        <w:t xml:space="preserve">Has the party complained to the insurer in writing? If </w:t>
      </w:r>
      <w:r>
        <w:rPr>
          <w:rFonts w:ascii="Calibri" w:hAnsi="Calibri"/>
          <w:b/>
          <w:i w:val="0"/>
          <w:color w:val="1B2A32"/>
          <w:sz w:val="21"/>
        </w:rPr>
        <w:t>no</w:t>
      </w:r>
      <w:r>
        <w:rPr>
          <w:rFonts w:ascii="Calibri" w:hAnsi="Calibri"/>
          <w:b w:val="0"/>
          <w:i w:val="0"/>
          <w:color w:val="1B2A32"/>
          <w:sz w:val="21"/>
        </w:rPr>
        <w:t xml:space="preserve"> — that is the only next step. Issue F-I04 and register on Bima Bharosa.</w:t>
      </w:r>
    </w:p>
    <w:p>
      <w:pPr>
        <w:pStyle w:val="ListNumber"/>
        <w:spacing w:after="60"/>
        <w:jc w:val="both"/>
      </w:pPr>
      <w:r>
        <w:rPr>
          <w:rFonts w:ascii="Calibri" w:hAnsi="Calibri"/>
          <w:b w:val="0"/>
          <w:i w:val="0"/>
          <w:color w:val="1B2A32"/>
          <w:sz w:val="21"/>
        </w:rPr>
        <w:t xml:space="preserve">Have 30 days run, or has an unsatisfactory reply arrived? If </w:t>
      </w:r>
      <w:r>
        <w:rPr>
          <w:rFonts w:ascii="Calibri" w:hAnsi="Calibri"/>
          <w:b/>
          <w:i w:val="0"/>
          <w:color w:val="1B2A32"/>
          <w:sz w:val="21"/>
        </w:rPr>
        <w:t>no</w:t>
      </w:r>
      <w:r>
        <w:rPr>
          <w:rFonts w:ascii="Calibri" w:hAnsi="Calibri"/>
          <w:b w:val="0"/>
          <w:i w:val="0"/>
          <w:color w:val="1B2A32"/>
          <w:sz w:val="21"/>
        </w:rPr>
        <w:t xml:space="preserve"> — diarise and wait.</w:t>
      </w:r>
    </w:p>
    <w:p>
      <w:pPr>
        <w:pStyle w:val="ListNumber"/>
        <w:spacing w:after="60"/>
        <w:jc w:val="both"/>
      </w:pPr>
      <w:r>
        <w:rPr>
          <w:rFonts w:ascii="Calibri" w:hAnsi="Calibri"/>
          <w:b w:val="0"/>
          <w:i w:val="0"/>
          <w:color w:val="1B2A32"/>
          <w:sz w:val="21"/>
        </w:rPr>
        <w:t xml:space="preserve">Is the claim within ₹50 lakh, within one year, and not pending elsewhere? If </w:t>
      </w:r>
      <w:r>
        <w:rPr>
          <w:rFonts w:ascii="Calibri" w:hAnsi="Calibri"/>
          <w:b/>
          <w:i w:val="0"/>
          <w:color w:val="1B2A32"/>
          <w:sz w:val="21"/>
        </w:rPr>
        <w:t>yes</w:t>
      </w:r>
      <w:r>
        <w:rPr>
          <w:rFonts w:ascii="Calibri" w:hAnsi="Calibri"/>
          <w:b w:val="0"/>
          <w:i w:val="0"/>
          <w:color w:val="1B2A32"/>
          <w:sz w:val="21"/>
        </w:rPr>
        <w:t xml:space="preserve"> — the Ombudsman is the primary route. Mediate in parallel.</w:t>
      </w:r>
    </w:p>
    <w:p>
      <w:pPr>
        <w:pStyle w:val="ListNumber"/>
        <w:spacing w:after="60"/>
        <w:jc w:val="both"/>
      </w:pPr>
      <w:r>
        <w:rPr>
          <w:rFonts w:ascii="Calibri" w:hAnsi="Calibri"/>
          <w:b w:val="0"/>
          <w:i w:val="0"/>
          <w:color w:val="1B2A32"/>
          <w:sz w:val="21"/>
        </w:rPr>
        <w:t>If the one-year window has closed — say so plainly and route to the consumer commission.</w:t>
      </w:r>
    </w:p>
    <w:p>
      <w:pPr>
        <w:pStyle w:val="ListNumber"/>
        <w:spacing w:after="60"/>
        <w:jc w:val="both"/>
      </w:pPr>
      <w:r>
        <w:rPr>
          <w:rFonts w:ascii="Calibri" w:hAnsi="Calibri"/>
          <w:b w:val="0"/>
          <w:i w:val="0"/>
          <w:color w:val="1B2A32"/>
          <w:sz w:val="21"/>
        </w:rPr>
        <w:t>If the claim exceeds ₹50 lakh — consumer commission by value tier, or civil court. Mediation remains available.</w:t>
      </w:r>
    </w:p>
    <w:p>
      <w:pPr>
        <w:pStyle w:val="ListNumber"/>
        <w:spacing w:after="60"/>
        <w:jc w:val="both"/>
      </w:pPr>
      <w:r>
        <w:rPr>
          <w:rFonts w:ascii="Calibri" w:hAnsi="Calibri"/>
          <w:b w:val="0"/>
          <w:i w:val="0"/>
          <w:color w:val="1B2A32"/>
          <w:sz w:val="21"/>
        </w:rPr>
        <w:t>If the policy is commercial — the Ombudsman is unavailable. Mediate; arbitrate only on a separate agreement.</w:t>
      </w:r>
    </w:p>
    <w:p>
      <w:pPr>
        <w:pStyle w:val="ListNumber"/>
        <w:spacing w:after="60"/>
        <w:jc w:val="both"/>
      </w:pPr>
      <w:r>
        <w:rPr>
          <w:rFonts w:ascii="Calibri" w:hAnsi="Calibri"/>
          <w:b w:val="0"/>
          <w:i w:val="0"/>
          <w:color w:val="1B2A32"/>
          <w:sz w:val="21"/>
        </w:rPr>
        <w:t>If it is a third-party motor claim — Motor Accidents Claims Tribunal. Signpost and stop.</w:t>
      </w:r>
    </w:p>
    <w:p>
      <w:pPr>
        <w:keepNext/>
        <w:spacing w:before="280" w:after="120"/>
        <w:pBdr>
          <w:bottom w:val="single" w:sz="12" w:space="3" w:color="C6A15B"/>
        </w:pBdr>
      </w:pPr>
      <w:r>
        <w:rPr>
          <w:rFonts w:ascii="Calibri" w:hAnsi="Calibri"/>
          <w:b/>
          <w:i w:val="0"/>
          <w:color w:val="123B4F"/>
          <w:sz w:val="32"/>
        </w:rPr>
        <w:t>4.  What we say — and what we never say</w:t>
      </w:r>
    </w:p>
    <w:tbl>
      <w:tblPr>
        <w:tblStyle w:val="TableGrid"/>
        <w:tblW w:type="auto" w:w="0"/>
        <w:jc w:val="center"/>
        <w:tblLook w:firstColumn="1" w:firstRow="1" w:lastColumn="0" w:lastRow="0" w:noHBand="0" w:noVBand="1" w:val="04A0"/>
      </w:tblPr>
      <w:tblGrid>
        <w:gridCol w:w="4752"/>
        <w:gridCol w:w="4752"/>
      </w:tblGrid>
      <w:tr>
        <w:tc>
          <w:tcPr>
            <w:tcW w:type="dxa" w:w="72000"/>
            <w:shd w:val="clear" w:fill="123B4F"/>
          </w:tcPr>
          <w:p>
            <w:r/>
            <w:r>
              <w:rPr>
                <w:rFonts w:ascii="Calibri" w:hAnsi="Calibri"/>
                <w:b/>
                <w:i w:val="0"/>
                <w:color w:val="FFFFFF"/>
                <w:sz w:val="18"/>
              </w:rPr>
              <w:t>We say</w:t>
            </w:r>
          </w:p>
        </w:tc>
        <w:tc>
          <w:tcPr>
            <w:tcW w:type="dxa" w:w="72000"/>
            <w:shd w:val="clear" w:fill="123B4F"/>
          </w:tcPr>
          <w:p>
            <w:r/>
            <w:r>
              <w:rPr>
                <w:rFonts w:ascii="Calibri" w:hAnsi="Calibri"/>
                <w:b/>
                <w:i w:val="0"/>
                <w:color w:val="FFFFFF"/>
                <w:sz w:val="18"/>
              </w:rPr>
              <w:t>We never say</w:t>
            </w:r>
          </w:p>
        </w:tc>
      </w:tr>
      <w:tr>
        <w:tc>
          <w:tcPr>
            <w:tcW w:type="dxa" w:w="72000"/>
          </w:tcPr>
          <w:p>
            <w:r/>
            <w:r>
              <w:rPr>
                <w:rFonts w:ascii="Calibri" w:hAnsi="Calibri"/>
                <w:b w:val="0"/>
                <w:i w:val="0"/>
                <w:color w:val="1B2A32"/>
                <w:sz w:val="18"/>
              </w:rPr>
              <w:t>“There is a free government forum — the Insurance Ombudsman.”</w:t>
            </w:r>
          </w:p>
        </w:tc>
        <w:tc>
          <w:tcPr>
            <w:tcW w:type="dxa" w:w="72000"/>
          </w:tcPr>
          <w:p>
            <w:r/>
            <w:r>
              <w:rPr>
                <w:rFonts w:ascii="Calibri" w:hAnsi="Calibri"/>
                <w:b w:val="0"/>
                <w:i w:val="0"/>
                <w:color w:val="1B2A32"/>
                <w:sz w:val="18"/>
              </w:rPr>
              <w:t>“We can handle this instead of the Ombudsman.”</w:t>
            </w:r>
          </w:p>
        </w:tc>
      </w:tr>
      <w:tr>
        <w:tc>
          <w:tcPr>
            <w:tcW w:type="dxa" w:w="72000"/>
            <w:shd w:val="clear" w:fill="F3F7F9"/>
          </w:tcPr>
          <w:p>
            <w:r/>
            <w:r>
              <w:rPr>
                <w:rFonts w:ascii="Calibri" w:hAnsi="Calibri"/>
                <w:b w:val="0"/>
                <w:i w:val="0"/>
                <w:color w:val="1B2A32"/>
                <w:sz w:val="18"/>
              </w:rPr>
              <w:t>“Your last date to file is [date]. That does not pause.”</w:t>
            </w:r>
          </w:p>
        </w:tc>
        <w:tc>
          <w:tcPr>
            <w:tcW w:type="dxa" w:w="72000"/>
            <w:shd w:val="clear" w:fill="F3F7F9"/>
          </w:tcPr>
          <w:p>
            <w:r/>
            <w:r>
              <w:rPr>
                <w:rFonts w:ascii="Calibri" w:hAnsi="Calibri"/>
                <w:b w:val="0"/>
                <w:i w:val="0"/>
                <w:color w:val="1B2A32"/>
                <w:sz w:val="18"/>
              </w:rPr>
              <w:t>“Don't worry about the deadline while we mediate.”</w:t>
            </w:r>
          </w:p>
        </w:tc>
      </w:tr>
      <w:tr>
        <w:tc>
          <w:tcPr>
            <w:tcW w:type="dxa" w:w="72000"/>
          </w:tcPr>
          <w:p>
            <w:r/>
            <w:r>
              <w:rPr>
                <w:rFonts w:ascii="Calibri" w:hAnsi="Calibri"/>
                <w:b w:val="0"/>
                <w:i w:val="0"/>
                <w:color w:val="1B2A32"/>
                <w:sz w:val="18"/>
              </w:rPr>
              <w:t>“We can't tell you whether your claim is good.”</w:t>
            </w:r>
          </w:p>
        </w:tc>
        <w:tc>
          <w:tcPr>
            <w:tcW w:type="dxa" w:w="72000"/>
          </w:tcPr>
          <w:p>
            <w:r/>
            <w:r>
              <w:rPr>
                <w:rFonts w:ascii="Calibri" w:hAnsi="Calibri"/>
                <w:b w:val="0"/>
                <w:i w:val="0"/>
                <w:color w:val="1B2A32"/>
                <w:sz w:val="18"/>
              </w:rPr>
              <w:t>“You have a strong case.”</w:t>
            </w:r>
          </w:p>
        </w:tc>
      </w:tr>
      <w:tr>
        <w:tc>
          <w:tcPr>
            <w:tcW w:type="dxa" w:w="72000"/>
            <w:shd w:val="clear" w:fill="F3F7F9"/>
          </w:tcPr>
          <w:p>
            <w:r/>
            <w:r>
              <w:rPr>
                <w:rFonts w:ascii="Calibri" w:hAnsi="Calibri"/>
                <w:b w:val="0"/>
                <w:i w:val="0"/>
                <w:color w:val="1B2A32"/>
                <w:sz w:val="18"/>
              </w:rPr>
              <w:t>“We don't estimate what a claim is worth.”</w:t>
            </w:r>
          </w:p>
        </w:tc>
        <w:tc>
          <w:tcPr>
            <w:tcW w:type="dxa" w:w="72000"/>
            <w:shd w:val="clear" w:fill="F3F7F9"/>
          </w:tcPr>
          <w:p>
            <w:r/>
            <w:r>
              <w:rPr>
                <w:rFonts w:ascii="Calibri" w:hAnsi="Calibri"/>
                <w:b w:val="0"/>
                <w:i w:val="0"/>
                <w:color w:val="1B2A32"/>
                <w:sz w:val="18"/>
              </w:rPr>
              <w:t>“You should get about ₹X.”</w:t>
            </w:r>
          </w:p>
        </w:tc>
      </w:tr>
      <w:tr>
        <w:tc>
          <w:tcPr>
            <w:tcW w:type="dxa" w:w="72000"/>
          </w:tcPr>
          <w:p>
            <w:r/>
            <w:r>
              <w:rPr>
                <w:rFonts w:ascii="Calibri" w:hAnsi="Calibri"/>
                <w:b w:val="0"/>
                <w:i w:val="0"/>
                <w:color w:val="1B2A32"/>
                <w:sz w:val="18"/>
              </w:rPr>
              <w:t>“A retail policy shouldn't have an arbitration clause.”</w:t>
            </w:r>
          </w:p>
        </w:tc>
        <w:tc>
          <w:tcPr>
            <w:tcW w:type="dxa" w:w="72000"/>
          </w:tcPr>
          <w:p>
            <w:r/>
            <w:r>
              <w:rPr>
                <w:rFonts w:ascii="Calibri" w:hAnsi="Calibri"/>
                <w:b w:val="0"/>
                <w:i w:val="0"/>
                <w:color w:val="1B2A32"/>
                <w:sz w:val="18"/>
              </w:rPr>
              <w:t>“You could arbitrate this.” (retail)</w:t>
            </w:r>
          </w:p>
        </w:tc>
      </w:tr>
      <w:tr>
        <w:tc>
          <w:tcPr>
            <w:tcW w:type="dxa" w:w="72000"/>
            <w:shd w:val="clear" w:fill="F3F7F9"/>
          </w:tcPr>
          <w:p>
            <w:r/>
            <w:r>
              <w:rPr>
                <w:rFonts w:ascii="Calibri" w:hAnsi="Calibri"/>
                <w:b w:val="0"/>
                <w:i w:val="0"/>
                <w:color w:val="1B2A32"/>
                <w:sz w:val="18"/>
              </w:rPr>
              <w:t>“We are a private institution, not a government body.”</w:t>
            </w:r>
          </w:p>
        </w:tc>
        <w:tc>
          <w:tcPr>
            <w:tcW w:type="dxa" w:w="72000"/>
            <w:shd w:val="clear" w:fill="F3F7F9"/>
          </w:tcPr>
          <w:p>
            <w:r/>
            <w:r>
              <w:rPr>
                <w:rFonts w:ascii="Calibri" w:hAnsi="Calibri"/>
                <w:b w:val="0"/>
                <w:i w:val="0"/>
                <w:color w:val="1B2A32"/>
                <w:sz w:val="18"/>
              </w:rPr>
              <w:t>Anything implying official status</w:t>
            </w:r>
          </w:p>
        </w:tc>
      </w:tr>
      <w:tr>
        <w:tc>
          <w:tcPr>
            <w:tcW w:type="dxa" w:w="72000"/>
          </w:tcPr>
          <w:p>
            <w:r/>
            <w:r>
              <w:rPr>
                <w:rFonts w:ascii="Calibri" w:hAnsi="Calibri"/>
                <w:b w:val="0"/>
                <w:i w:val="0"/>
                <w:color w:val="1B2A32"/>
                <w:sz w:val="18"/>
              </w:rPr>
              <w:t>“Filing in a consumer commission closes the Ombudsman route.”</w:t>
            </w:r>
          </w:p>
        </w:tc>
        <w:tc>
          <w:tcPr>
            <w:tcW w:type="dxa" w:w="72000"/>
          </w:tcPr>
          <w:p>
            <w:r/>
            <w:r>
              <w:rPr>
                <w:rFonts w:ascii="Calibri" w:hAnsi="Calibri"/>
                <w:b w:val="0"/>
                <w:i w:val="0"/>
                <w:color w:val="1B2A32"/>
                <w:sz w:val="18"/>
              </w:rPr>
              <w:t>Letting a party file without telling them</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1B33433-4D86-47AA-9C92-3853DDF3CD3D}"/>
</file>

<file path=customXml/itemProps3.xml><?xml version="1.0" encoding="utf-8"?>
<ds:datastoreItem xmlns:ds="http://schemas.openxmlformats.org/officeDocument/2006/customXml" ds:itemID="{DEAC5D6F-4E12-42D4-A1E6-B35B5F3AA860}"/>
</file>

<file path=customXml/itemProps4.xml><?xml version="1.0" encoding="utf-8"?>
<ds:datastoreItem xmlns:ds="http://schemas.openxmlformats.org/officeDocument/2006/customXml" ds:itemID="{F118BA2F-991F-4E55-8F63-5B88E3CCED7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