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Authorities &amp; Citations Digest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Verified insurance-law authorities and the IRDAI turnaround regime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Insurance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How to use this Digest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counsel-facing companion to the Compendium. Each authority is stated with its proposition and its bearing on mediation, grouped by doctrine. The cases were located in legal-reporting sources during research in July 2026; </w:t>
      </w:r>
      <w:r>
        <w:rPr>
          <w:rFonts w:ascii="Calibri" w:hAnsi="Calibri"/>
          <w:b/>
          <w:i w:val="0"/>
          <w:color w:val="1B2A32"/>
          <w:sz w:val="21"/>
        </w:rPr>
        <w:t>pinpoint citations must be confirmed against the official reporter before use</w:t>
      </w:r>
      <w:r>
        <w:rPr>
          <w:rFonts w:ascii="Calibri" w:hAnsi="Calibri"/>
          <w:b w:val="0"/>
          <w:i w:val="0"/>
          <w:color w:val="1B2A32"/>
          <w:sz w:val="21"/>
        </w:rPr>
        <w:t>, and are marked [verify] where not confirmed. This Digest does not advise on any claim.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A NOTE ON HONESTY OF CITATION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Equator's credibility depends on never overstating a source. Where a case name is given, it is a real case found in reporting. Where a volume/page is uncertain it carries [verify]. A neutral must not represent an unconfirmed pinpoint to a party as settled, and must never cite an authority to tell a party their claim is good — authorities frame questions here, they do not decide claims.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A.  Utmost good faith, materiality and non-disclosure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1.1  A-1  *Mithoolal Nayak v. Life Insurance Corporation of India*, AIR 1962 SC 814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Interpreting section 45 of the Insurance Act, 1938: a fact is material if it would influence the judgment of a prudent insurer in fixing the premium or determining whether to take the risk; the insurer bears the burden of proving suppression of a material fact made fraudulently and knowing it to be false. </w:t>
      </w:r>
      <w:r>
        <w:rPr>
          <w:rFonts w:ascii="Calibri" w:hAnsi="Calibri"/>
          <w:b/>
          <w:i w:val="0"/>
          <w:color w:val="1B2A32"/>
          <w:sz w:val="21"/>
        </w:rPr>
        <w:t>Bearing on mediation.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starting point for every life non-disclosure dispute — it puts the burden on the insurer and makes materiality a question, not an assumption.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1.2  A-2  *Reliance Life Insurance Co. Ltd. v. Rekhaben Nareshbhai Rathod*, (2019) 6 SCC 175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insurer must produce evidence to establish non-disclosure of prior policies; ambiguous disclosure requirements in the proposal cannot be used to negate cover, and are read contra proferentem.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Defeats the common insurer tactic of repudiating on unproven 'other policies', and links materiality to contra proferentem.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1.3  A-3  Non-disclosure of additional policies not necessarily material [verify — citation]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Supreme Court has set aside a repudiation where the only non-disclosure was of additional life policies, holding it not a material suppression, and directed the insurer to pay with interest.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Confirms that not every omission is material — a powerful point where the insurer over-reaches. *Confirm the exact citation before relying on it.*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B.  Construction — contra proferentem and proximate cause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2.1  B-1  *United India Insurance Co. Ltd. v. Orient Treasures (P) Ltd.*, (2016) 3 SCC 49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Ambiguity in an insurer-drafted policy is construed against the insurer.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everyday tool for exclusions, sub-limits and definitions — 'hospital', 'accident', 'pre-existing', 'forcible entry', 'computer fraud'.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2.2  B-2  *Leyland Shipping Co. v. Norwich Union Fire Insurance Society* [1918] AC 350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*Causa proxima non remota spectatur* — the dominant, effective cause of a loss governs, not a remote one.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Foundational for marine, fire and motor causation; a chain with an excluded link does not automatically defeat the claim.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2.3  B-3  *Oriental Insurance Co. Ltd. v. Hasmukhbhai T. Patel*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Applying proximate cause in an Indian motor/goods context — the driver's negligence, not the road condition, was the proximate cause.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Indian application of *causa proxima*.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C.  Condition breach, nexus and the non-standard settlement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3.1  C-1  *Amalendu Sahoo v. Oriental Insurance Co. Ltd.*, (2010) 4 SCC 536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breach of a policy condition that has no nexus with the loss does not entitle the insurer to repudiate the whole claim; the appropriate course is a non-standard settlement (a percentage of the assessed loss).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single most useful motor-mediation authority — it converts 'repudiated' into 'settled at a percentage'.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3.2  C-2  *National Insurance Co. Ltd. v. Nitin Khandelwal*, (2008) 11 SCC 259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In a theft claim under a comprehensive policy, a breach of a 'use' condition has no nexus with the loss; the insurer must indemnify, though a non-standard settlement may apply where quantum is not contested.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Distinguishes accident cases (nexus critical) from theft cases (nexus absent).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3.3  C-3  *Ashok Kumar v. New India Assurance Co. Ltd.*, 2023 INSC 659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Upholding a 75% settlement on a contested theft claim notwithstanding alleged negligence.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recent restatement that the non-standard-settlement practice endures.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D.  Discharge vouchers and economic duress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4.1  D-1  *National Insurance Co. Ltd. v. Boghara Polyfab (P) Ltd.*, (2009) 1 SCC 267 [verify]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mere execution of a full-and-final discharge voucher is not a bar to pursuing the balance where it was obtained by fraud, coercion or undue influence — but the party must produce prima facie evidence of the duress, not a bare allegation.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legal backbone of Form F-I17's 'under protest' endorsement.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4.2  D-2  Full-and-final settlement and economic duress — Supreme Court, 2025 [verify — 2025 INSC]</w:t>
      </w:r>
    </w:p>
    <w:p>
      <w:pPr>
        <w:spacing w:after="120"/>
        <w:jc w:val="both"/>
      </w:pPr>
      <w:r>
        <w:rPr>
          <w:rFonts w:ascii="Calibri" w:hAnsi="Calibri"/>
          <w:b/>
          <w:i w:val="0"/>
          <w:color w:val="1B2A32"/>
          <w:sz w:val="21"/>
        </w:rPr>
        <w:t>Proposition.</w:t>
      </w:r>
      <w:r>
        <w:rPr>
          <w:rFonts w:ascii="Calibri" w:hAnsi="Calibri"/>
          <w:b w:val="0"/>
          <w:i w:val="0"/>
          <w:color w:val="1B2A32"/>
          <w:sz w:val="21"/>
        </w:rPr>
        <w:t xml:space="preserve"> 'Accord and satisfaction' does not bind where consent was procured by economic duress; a recent 2025 decision revisits when a full-and-final settlement bars a further claim. </w:t>
      </w:r>
      <w:r>
        <w:rPr>
          <w:rFonts w:ascii="Calibri" w:hAnsi="Calibri"/>
          <w:b/>
          <w:i w:val="0"/>
          <w:color w:val="1B2A32"/>
          <w:sz w:val="21"/>
        </w:rPr>
        <w:t>Bearing.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Reinforces that a voucher signed under financial pressure is not the end. *Confirm the exact citation.*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E.  The consumer remedy is not ousted by arbitration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consistent line of Supreme Court authority holds that the remedy before a consumer forum is </w:t>
      </w:r>
      <w:r>
        <w:rPr>
          <w:rFonts w:ascii="Calibri" w:hAnsi="Calibri"/>
          <w:b/>
          <w:i w:val="0"/>
          <w:color w:val="1B2A32"/>
          <w:sz w:val="21"/>
        </w:rPr>
        <w:t>additional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is not ousted by an arbitration clause: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*Fair Air Engineers (P) Ltd. v. N.K. Modi* [verify]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*Thirumurugan Coop. Agricultural Credit Society v. M. Lalitha* [verify]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*National Seeds Corporation Ltd. v. M. Madhusudhan Reddy* [verify]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*Emaar MGF Land Ltd. v. Aftab Singh* [verify] — once a consumer complaint is admitted, an arbitration clause cannot oust the forum's jurisdiction.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BEARING ON THE VERTICAL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This line of authority is why the retail-arbitration bar is not merely regulatory but doctrinal: even if a retail policy carried an arbitration clause, the policyholder's consumer remedy would survive it. A neutral should correct, on the record, any insurer suggestion that the policyholder 'has to arbitrate'.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F.  The IRDAI turnaround and interest regime (regulatory)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Source: IRDAI (Protection of Policyholders' Interests, Operations and Allied Matters of Insurers) Regulations, 2024 (in force 1 April 2024) and the Master Circulars of September 2024. [verify — exact clause references before quoting to a party.]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518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Standard</w:t>
            </w:r>
          </w:p>
        </w:tc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On breach</w:t>
            </w:r>
          </w:p>
        </w:tc>
      </w:tr>
      <w:tr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Cashless authorisation (health)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Within 1 hour of the hospital's request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Insurer bears additional hospital charges caused by its delay</w:t>
            </w:r>
          </w:p>
        </w:tc>
      </w:tr>
      <w:tr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Final discharge authorisation (health)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Within 3 hours of the hospital's request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As above</w:t>
            </w:r>
          </w:p>
        </w:tc>
      </w:tr>
      <w:tr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Claim settlement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Within 30 days of the last necessary document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Interest at 2% above the bank rate on the delayed amount</w:t>
            </w:r>
          </w:p>
        </w:tc>
      </w:tr>
      <w:tr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Policy issuance / free-look / refund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Per the Master Circular timelines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Grievance escalation</w:t>
            </w:r>
          </w:p>
        </w:tc>
      </w:tr>
      <w:tr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Grievance handling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Acknowledge and resolve per the Master Circular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Escalation to Bima Bharosa and the Insurance Ombudsman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6.1  Interest ready-reckoner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Interest ≈ delayed amount × (bank rate + 2%) × days-late ÷ 365. Example: ₹6,00,000, 48 days late, at 8.5% ≈ ₹6,707. Recompute with the current bank rate. [verify — bank rate.]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7.  G.  Statutory and scheme framework — quick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0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Instrument</w:t>
            </w:r>
          </w:p>
        </w:tc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Governs</w:t>
            </w:r>
          </w:p>
        </w:tc>
        <w:tc>
          <w:tcPr>
            <w:tcW w:type="dxa" w:w="604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 Act, 1938 (s.45)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Life policy avoidance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date test in life claims</w:t>
            </w:r>
          </w:p>
        </w:tc>
      </w:tr>
      <w:tr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Marine Insurance Act, 1963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Marine cover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Codifies proximate cause, insurable interest, warranties</w:t>
            </w:r>
          </w:p>
        </w:tc>
      </w:tr>
      <w:tr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Motor Vehicles Act, 1988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Third-party motor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Motor Accidents Claims Tribunal</w:t>
            </w:r>
          </w:p>
        </w:tc>
      </w:tr>
      <w:tr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Employees' Compensation Act, 1923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Employment injury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Commissioner; within Code on Social Security, 2020 as notified [verify]</w:t>
            </w:r>
          </w:p>
        </w:tc>
      </w:tr>
      <w:tr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Consumer Protection Act, 2019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Deficiency in service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Independent, additional remedy</w:t>
            </w:r>
          </w:p>
        </w:tc>
      </w:tr>
      <w:tr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 Ombudsman Rules, 2017 (am. 2021)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free forum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17 centres; ₹50L/₹30L; 1 year [verify current limits]</w:t>
            </w:r>
          </w:p>
        </w:tc>
      </w:tr>
      <w:tr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IRDAI (PPHI) Regulations, 2024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Policyholder protection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Turnaround and interest</w:t>
            </w:r>
          </w:p>
        </w:tc>
      </w:tr>
      <w:tr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IRDAI circular, 27 Oct 2023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Arbitration clauses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arbitration in retail policies</w:t>
            </w:r>
          </w:p>
        </w:tc>
      </w:tr>
      <w:tr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Mediation Act, 2023 (s.27)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Mediated settlements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Enforceable as a decree</w:t>
            </w:r>
          </w:p>
        </w:tc>
      </w:tr>
      <w:tr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Arbitration &amp; Conciliation Act, 1996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 arbitration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ss.12, 29A, 31, 34, 36</w:t>
            </w:r>
          </w:p>
        </w:tc>
      </w:tr>
      <w:tr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PMFBY Operational Guidelines</w:t>
            </w:r>
          </w:p>
        </w:tc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Crop insurance</w:t>
            </w:r>
          </w:p>
        </w:tc>
        <w:tc>
          <w:tcPr>
            <w:tcW w:type="dxa" w:w="604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DGRC → SGRC; Krishi Rakshak</w:t>
            </w:r>
          </w:p>
        </w:tc>
      </w:tr>
      <w:tr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AB PM-JAY guidelines (NHA)</w:t>
            </w:r>
          </w:p>
        </w:tc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Government health</w:t>
            </w:r>
          </w:p>
        </w:tc>
        <w:tc>
          <w:tcPr>
            <w:tcW w:type="dxa" w:w="604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CGRMS; 14555; District/State/National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Insurance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9ECBBC-B005-4F10-8B90-E6E493830A4B}"/>
</file>

<file path=customXml/itemProps3.xml><?xml version="1.0" encoding="utf-8"?>
<ds:datastoreItem xmlns:ds="http://schemas.openxmlformats.org/officeDocument/2006/customXml" ds:itemID="{07CEF503-0B4E-49BF-A963-9B09808DC3AE}"/>
</file>

<file path=customXml/itemProps4.xml><?xml version="1.0" encoding="utf-8"?>
<ds:datastoreItem xmlns:ds="http://schemas.openxmlformats.org/officeDocument/2006/customXml" ds:itemID="{39F6679E-22B8-4975-9123-42F570A847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