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Mediation, Conciliation &amp; Settlement</w:t>
      </w:r>
    </w:p>
    <w:p>
      <w:pPr>
        <w:pBdr>
          <w:top w:val="single" w:sz="14" w:space="6" w:color="C6A15B"/>
          <w:bottom w:val="single" w:sz="14" w:space="6" w:color="C6A15B"/>
        </w:pBdr>
      </w:pPr>
    </w:p>
    <w:p>
      <w:pPr>
        <w:spacing w:before="600"/>
        <w:jc w:val="center"/>
      </w:pPr>
      <w:r>
        <w:rPr>
          <w:rFonts w:ascii="Calibri" w:hAnsi="Calibri"/>
          <w:b/>
          <w:i w:val="0"/>
          <w:color w:val="123B4F"/>
          <w:sz w:val="48"/>
        </w:rPr>
        <w:t>Insurance Clause Bank &amp; Model Agreements</w:t>
      </w:r>
    </w:p>
    <w:p>
      <w:pPr>
        <w:jc w:val="center"/>
      </w:pPr>
      <w:r>
        <w:rPr>
          <w:rFonts w:ascii="Calibri" w:hAnsi="Calibri"/>
          <w:b w:val="0"/>
          <w:i/>
          <w:color w:val="556168"/>
          <w:sz w:val="25"/>
        </w:rPr>
        <w:t>Model clauses, protocols and settlement terms</w:t>
      </w:r>
    </w:p>
    <w:p/>
    <w:p/>
    <w:p/>
    <w:p/>
    <w:p/>
    <w:p/>
    <w:p/>
    <w:p/>
    <w:p>
      <w:pPr>
        <w:jc w:val="center"/>
      </w:pPr>
      <w:r>
        <w:rPr>
          <w:rFonts w:ascii="Calibri" w:hAnsi="Calibri"/>
          <w:b/>
          <w:i w:val="0"/>
          <w:color w:val="1E7A8C"/>
          <w:sz w:val="22"/>
        </w:rPr>
        <w:t>Insurance Dispute Resolution vertical</w:t>
      </w:r>
    </w:p>
    <w:p>
      <w:pPr>
        <w:jc w:val="center"/>
      </w:pPr>
      <w:r>
        <w:rPr>
          <w:rFonts w:ascii="Calibri" w:hAnsi="Calibri"/>
          <w:b w:val="0"/>
          <w:i w:val="0"/>
          <w:color w:val="556168"/>
          <w:sz w:val="19"/>
        </w:rPr>
        <w:t>July 2026  ·  Draft for legal sign-off  ·  www.equatorresolution.com</w:t>
      </w:r>
    </w:p>
    <w:p>
      <w:r>
        <w:br w:type="page"/>
      </w:r>
    </w:p>
    <w:p>
      <w:pPr>
        <w:keepNext/>
        <w:spacing w:before="280" w:after="120"/>
        <w:pBdr>
          <w:bottom w:val="single" w:sz="12" w:space="3" w:color="C6A15B"/>
        </w:pBdr>
      </w:pPr>
      <w:r>
        <w:rPr>
          <w:rFonts w:ascii="Calibri" w:hAnsi="Calibri"/>
          <w:b/>
          <w:i w:val="0"/>
          <w:color w:val="123B4F"/>
          <w:sz w:val="32"/>
        </w:rPr>
        <w:t>How to use this bank</w:t>
      </w:r>
    </w:p>
    <w:p>
      <w:pPr>
        <w:spacing w:after="120"/>
        <w:jc w:val="both"/>
      </w:pPr>
      <w:r>
        <w:rPr>
          <w:rFonts w:ascii="Calibri" w:hAnsi="Calibri"/>
          <w:b w:val="0"/>
          <w:i w:val="0"/>
          <w:color w:val="1B2A32"/>
          <w:sz w:val="21"/>
        </w:rPr>
        <w:t xml:space="preserve">Clauses are grouped by the document they belong in. Each carries a note on when it may and may not be used. </w:t>
      </w:r>
      <w:r>
        <w:rPr>
          <w:rFonts w:ascii="Calibri" w:hAnsi="Calibri"/>
          <w:b/>
          <w:i w:val="0"/>
          <w:color w:val="1B2A32"/>
          <w:sz w:val="21"/>
        </w:rPr>
        <w:t>The retail/commercial distinction is not a drafting preference — it is a regulatory boundary.</w:t>
      </w:r>
    </w:p>
    <w:p>
      <w:pPr>
        <w:keepNext/>
        <w:spacing w:before="280" w:after="120"/>
        <w:pBdr>
          <w:bottom w:val="single" w:sz="12" w:space="3" w:color="C6A15B"/>
        </w:pBdr>
      </w:pPr>
      <w:r>
        <w:rPr>
          <w:rFonts w:ascii="Calibri" w:hAnsi="Calibri"/>
          <w:b/>
          <w:i w:val="0"/>
          <w:color w:val="123B4F"/>
          <w:sz w:val="32"/>
        </w:rPr>
        <w:t>1.  A.  Dispute-resolution clauses for policies</w:t>
      </w:r>
    </w:p>
    <w:p>
      <w:pPr>
        <w:keepNext/>
        <w:spacing w:before="200" w:after="60"/>
      </w:pPr>
      <w:r>
        <w:rPr>
          <w:rFonts w:ascii="Calibri" w:hAnsi="Calibri"/>
          <w:b/>
          <w:i w:val="0"/>
          <w:color w:val="1E7A8C"/>
          <w:sz w:val="25"/>
        </w:rPr>
        <w:t>1.1  A-1  Retail policy — mediation option (no arbitration)</w:t>
      </w: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MODEL CLAUSE</w:t>
            </w:r>
          </w:p>
          <w:p>
            <w:r>
              <w:rPr>
                <w:rFonts w:ascii="Calibri" w:hAnsi="Calibri"/>
                <w:b w:val="0"/>
                <w:i w:val="0"/>
                <w:color w:val="1B2A32"/>
                <w:sz w:val="19"/>
              </w:rPr>
              <w:t>“Any dispute arising under this policy may, at the option of the policyholder, be referred to mediation administered by Equator Resolution under its Insurance Mediation Rules. This clause does not, and shall not be construed to, affect, limit or replace the policyholder's rights to approach the insurer's grievance redressal officer, the Insurance Ombudsman, the Insurance Regulatory and Development Authority of India, a consumer commission or a civil court. Nothing in this policy requires the policyholder to arbitrate.”</w:t>
            </w:r>
          </w:p>
        </w:tc>
      </w:tr>
    </w:tbl>
    <w:p>
      <w:pPr>
        <w:spacing w:after="40"/>
      </w:pPr>
    </w:p>
    <w:p>
      <w:pPr>
        <w:spacing w:after="120"/>
        <w:jc w:val="both"/>
      </w:pPr>
      <w:r>
        <w:rPr>
          <w:rFonts w:ascii="Calibri" w:hAnsi="Calibri"/>
          <w:b/>
          <w:i w:val="0"/>
          <w:color w:val="1B2A32"/>
          <w:sz w:val="21"/>
        </w:rPr>
        <w:t>Use:</w:t>
      </w:r>
      <w:r>
        <w:rPr>
          <w:rFonts w:ascii="Calibri" w:hAnsi="Calibri"/>
          <w:b w:val="0"/>
          <w:i w:val="0"/>
          <w:color w:val="1B2A32"/>
          <w:sz w:val="21"/>
        </w:rPr>
        <w:t xml:space="preserve"> any retail policy. </w:t>
      </w:r>
      <w:r>
        <w:rPr>
          <w:rFonts w:ascii="Calibri" w:hAnsi="Calibri"/>
          <w:b/>
          <w:i w:val="0"/>
          <w:color w:val="1B2A32"/>
          <w:sz w:val="21"/>
        </w:rPr>
        <w:t>Do not</w:t>
      </w:r>
      <w:r>
        <w:rPr>
          <w:rFonts w:ascii="Calibri" w:hAnsi="Calibri"/>
          <w:b w:val="0"/>
          <w:i w:val="0"/>
          <w:color w:val="1B2A32"/>
          <w:sz w:val="21"/>
        </w:rPr>
        <w:t xml:space="preserve"> add an arbitration limb, an exclusivity limb, or a condition precedent making mediation compulsory before any other remedy.</w:t>
      </w:r>
    </w:p>
    <w:p>
      <w:pPr>
        <w:keepNext/>
        <w:spacing w:before="200" w:after="60"/>
      </w:pPr>
      <w:r>
        <w:rPr>
          <w:rFonts w:ascii="Calibri" w:hAnsi="Calibri"/>
          <w:b/>
          <w:i w:val="0"/>
          <w:color w:val="1E7A8C"/>
          <w:sz w:val="25"/>
        </w:rPr>
        <w:t>1.2  A-2  Commercial policy — separate arbitration agreement</w:t>
      </w:r>
    </w:p>
    <w:tbl>
      <w:tblPr>
        <w:tblW w:type="auto" w:w="0"/>
        <w:jc w:val="center"/>
        <w:tblLook w:firstColumn="1" w:firstRow="1" w:lastColumn="0" w:lastRow="0" w:noHBand="0" w:noVBand="1" w:val="04A0"/>
      </w:tblPr>
      <w:tblGrid>
        <w:gridCol w:w="9504"/>
      </w:tblGrid>
      <w:tr>
        <w:tc>
          <w:tcPr>
            <w:tcW w:type="dxa" w:w="9360"/>
            <w:shd w:val="clear" w:fill="DCEAEF"/>
            <w:tcBorders>
              <w:start w:val="single" w:sz="22" w:space="0" w:color="1E7A8C"/>
            </w:tcBorders>
          </w:tcPr>
          <w:p>
            <w:r>
              <w:rPr>
                <w:rFonts w:ascii="Calibri" w:hAnsi="Calibri"/>
                <w:b/>
                <w:i w:val="0"/>
                <w:color w:val="123B4F"/>
                <w:sz w:val="18"/>
              </w:rPr>
              <w:t>MODEL AGREEMENT</w:t>
            </w:r>
          </w:p>
          <w:p>
            <w:r>
              <w:rPr>
                <w:rFonts w:ascii="Calibri" w:hAnsi="Calibri"/>
                <w:b w:val="0"/>
                <w:i w:val="0"/>
                <w:color w:val="1B2A32"/>
                <w:sz w:val="19"/>
              </w:rPr>
              <w:t xml:space="preserve">“The parties, both being commercial entities, hereby enter into this separate agreement, by mutual consent, that </w:t>
            </w:r>
            <w:r>
              <w:rPr>
                <w:rFonts w:ascii="Calibri" w:hAnsi="Calibri"/>
                <w:b/>
                <w:i w:val="0"/>
                <w:color w:val="1B2A32"/>
                <w:sz w:val="19"/>
              </w:rPr>
              <w:t>any and all disputes</w:t>
            </w:r>
            <w:r>
              <w:rPr>
                <w:rFonts w:ascii="Calibri" w:hAnsi="Calibri"/>
                <w:b w:val="0"/>
                <w:i w:val="0"/>
                <w:color w:val="1B2A32"/>
                <w:sz w:val="19"/>
              </w:rPr>
              <w:t xml:space="preserve"> arising out of or in connection with policy no. ______, including any question regarding its existence, validity, interpretation, breach or termination, shall be referred to and finally resolved by arbitration administered by Equator Resolution under its Rules of Arbitration, which are deemed incorporated. The seat and venue shall be ______; the language shall be English; the tribunal shall consist of ______ arbitrator(s) appointed in accordance with those Rules. This agreement is entered into separately from, and in addition to, the policy, in accordance with the IRDAI circular dated 27 October 2023. Before commencing arbitration the parties shall attempt mediation under the Equator Insurance Mediation Rules for a period of 30 days, which shall not prejudice either party's position.”</w:t>
            </w:r>
          </w:p>
        </w:tc>
      </w:tr>
    </w:tbl>
    <w:p>
      <w:pPr>
        <w:spacing w:after="40"/>
      </w:pPr>
    </w:p>
    <w:p>
      <w:pPr>
        <w:spacing w:after="120"/>
        <w:jc w:val="both"/>
      </w:pPr>
      <w:r>
        <w:rPr>
          <w:rFonts w:ascii="Calibri" w:hAnsi="Calibri"/>
          <w:b/>
          <w:i w:val="0"/>
          <w:color w:val="1B2A32"/>
          <w:sz w:val="21"/>
        </w:rPr>
        <w:t>Use:</w:t>
      </w:r>
      <w:r>
        <w:rPr>
          <w:rFonts w:ascii="Calibri" w:hAnsi="Calibri"/>
          <w:b w:val="0"/>
          <w:i w:val="0"/>
          <w:color w:val="1B2A32"/>
          <w:sz w:val="21"/>
        </w:rPr>
        <w:t xml:space="preserve"> commercial policies only, as a separate instrument signed by both parties. </w:t>
      </w:r>
      <w:r>
        <w:rPr>
          <w:rFonts w:ascii="Calibri" w:hAnsi="Calibri"/>
          <w:b/>
          <w:i w:val="0"/>
          <w:color w:val="1B2A32"/>
          <w:sz w:val="21"/>
        </w:rPr>
        <w:t>Never</w:t>
      </w:r>
      <w:r>
        <w:rPr>
          <w:rFonts w:ascii="Calibri" w:hAnsi="Calibri"/>
          <w:b w:val="0"/>
          <w:i w:val="0"/>
          <w:color w:val="1B2A32"/>
          <w:sz w:val="21"/>
        </w:rPr>
        <w:t xml:space="preserve"> insert into a retail policy or into the policy wording itself.</w:t>
      </w:r>
    </w:p>
    <w:p>
      <w:pPr>
        <w:keepNext/>
        <w:spacing w:before="200" w:after="60"/>
      </w:pPr>
      <w:r>
        <w:rPr>
          <w:rFonts w:ascii="Calibri" w:hAnsi="Calibri"/>
          <w:b/>
          <w:i w:val="0"/>
          <w:color w:val="1E7A8C"/>
          <w:sz w:val="25"/>
        </w:rPr>
        <w:t>1.3  A-3  Group policy — member's claim</w:t>
      </w:r>
    </w:p>
    <w:p>
      <w:pPr>
        <w:spacing w:after="120"/>
        <w:jc w:val="both"/>
      </w:pPr>
      <w:r>
        <w:rPr>
          <w:rFonts w:ascii="Calibri" w:hAnsi="Calibri"/>
          <w:b w:val="0"/>
          <w:i w:val="0"/>
          <w:color w:val="1B2A32"/>
          <w:sz w:val="21"/>
        </w:rPr>
        <w:t>*“Where a member of a group policy has a personal claim under it, that member retains all remedies available to an individual policyholder, including recourse to the Insurance Ombudsman, and no arbitration agreement between the insurer and the master policyholder shall bind that member in respect of the member's own claim.”*</w:t>
      </w:r>
    </w:p>
    <w:p>
      <w:pPr>
        <w:keepNext/>
        <w:spacing w:before="280" w:after="120"/>
        <w:pBdr>
          <w:bottom w:val="single" w:sz="12" w:space="3" w:color="C6A15B"/>
        </w:pBdr>
      </w:pPr>
      <w:r>
        <w:rPr>
          <w:rFonts w:ascii="Calibri" w:hAnsi="Calibri"/>
          <w:b/>
          <w:i w:val="0"/>
          <w:color w:val="123B4F"/>
          <w:sz w:val="32"/>
        </w:rPr>
        <w:t>2.  B.  Settlement terms</w:t>
      </w:r>
    </w:p>
    <w:p>
      <w:pPr>
        <w:keepNext/>
        <w:spacing w:before="200" w:after="60"/>
      </w:pPr>
      <w:r>
        <w:rPr>
          <w:rFonts w:ascii="Calibri" w:hAnsi="Calibri"/>
          <w:b/>
          <w:i w:val="0"/>
          <w:color w:val="1E7A8C"/>
          <w:sz w:val="25"/>
        </w:rPr>
        <w:t>2.1  B-1  Continuity preservation</w:t>
      </w:r>
    </w:p>
    <w:p>
      <w:pPr>
        <w:spacing w:after="120"/>
        <w:jc w:val="both"/>
      </w:pPr>
      <w:r>
        <w:rPr>
          <w:rFonts w:ascii="Calibri" w:hAnsi="Calibri"/>
          <w:b w:val="0"/>
          <w:i w:val="0"/>
          <w:color w:val="1B2A32"/>
          <w:sz w:val="21"/>
        </w:rPr>
        <w:t xml:space="preserve">*“The policy shall stand reinstated with effect from ______ with </w:t>
      </w:r>
      <w:r>
        <w:rPr>
          <w:rFonts w:ascii="Calibri" w:hAnsi="Calibri"/>
          <w:b/>
          <w:i w:val="0"/>
          <w:color w:val="1B2A32"/>
          <w:sz w:val="21"/>
        </w:rPr>
        <w:t>full continuity of all waiting periods, the pre-existing-disease waiting period and cumulative bonus</w:t>
      </w:r>
      <w:r>
        <w:rPr>
          <w:rFonts w:ascii="Calibri" w:hAnsi="Calibri"/>
          <w:b w:val="0"/>
          <w:i w:val="0"/>
          <w:color w:val="1B2A32"/>
          <w:sz w:val="21"/>
        </w:rPr>
        <w:t xml:space="preserve"> as though it had never been repudiated or cancelled. The insurer shall within 15 days issue a written confirmation to that effect.”*</w:t>
      </w:r>
    </w:p>
    <w:p>
      <w:pPr>
        <w:keepNext/>
        <w:spacing w:before="200" w:after="60"/>
      </w:pPr>
      <w:r>
        <w:rPr>
          <w:rFonts w:ascii="Calibri" w:hAnsi="Calibri"/>
          <w:b/>
          <w:i w:val="0"/>
          <w:color w:val="1E7A8C"/>
          <w:sz w:val="25"/>
        </w:rPr>
        <w:t>2.2  B-2  Record correction and flag withdrawal</w:t>
      </w:r>
    </w:p>
    <w:p>
      <w:pPr>
        <w:spacing w:after="120"/>
        <w:jc w:val="both"/>
      </w:pPr>
      <w:r>
        <w:rPr>
          <w:rFonts w:ascii="Calibri" w:hAnsi="Calibri"/>
          <w:b w:val="0"/>
          <w:i w:val="0"/>
          <w:color w:val="1B2A32"/>
          <w:sz w:val="21"/>
        </w:rPr>
        <w:t xml:space="preserve">*“The insurer shall withdraw any adverse remark, repudiation entry or fraud indicator recorded against the policyholder in its own records </w:t>
      </w:r>
      <w:r>
        <w:rPr>
          <w:rFonts w:ascii="Calibri" w:hAnsi="Calibri"/>
          <w:b/>
          <w:i w:val="0"/>
          <w:color w:val="1B2A32"/>
          <w:sz w:val="21"/>
        </w:rPr>
        <w:t>and in any industry database to which it has reported the same</w:t>
      </w:r>
      <w:r>
        <w:rPr>
          <w:rFonts w:ascii="Calibri" w:hAnsi="Calibri"/>
          <w:b w:val="0"/>
          <w:i w:val="0"/>
          <w:color w:val="1B2A32"/>
          <w:sz w:val="21"/>
        </w:rPr>
        <w:t>, and shall confirm the withdrawal in writing within 15 days. The insurer shall not report this claim or this dispute adversely to any other insurer or database.”*</w:t>
      </w:r>
    </w:p>
    <w:p>
      <w:pPr>
        <w:keepNext/>
        <w:spacing w:before="200" w:after="60"/>
      </w:pPr>
      <w:r>
        <w:rPr>
          <w:rFonts w:ascii="Calibri" w:hAnsi="Calibri"/>
          <w:b/>
          <w:i w:val="0"/>
          <w:color w:val="1E7A8C"/>
          <w:sz w:val="25"/>
        </w:rPr>
        <w:t>2.3  B-3  Limited discharge</w:t>
      </w:r>
    </w:p>
    <w:p>
      <w:pPr>
        <w:spacing w:after="120"/>
        <w:jc w:val="both"/>
      </w:pPr>
      <w:r>
        <w:rPr>
          <w:rFonts w:ascii="Calibri" w:hAnsi="Calibri"/>
          <w:b w:val="0"/>
          <w:i w:val="0"/>
          <w:color w:val="1B2A32"/>
          <w:sz w:val="21"/>
        </w:rPr>
        <w:t xml:space="preserve">*“On receipt of the settlement amount in full, this settlement is in full and final satisfaction of all claims arising out of the claim bearing no. ______ under policy no. ______. </w:t>
      </w:r>
      <w:r>
        <w:rPr>
          <w:rFonts w:ascii="Calibri" w:hAnsi="Calibri"/>
          <w:b/>
          <w:i w:val="0"/>
          <w:color w:val="1B2A32"/>
          <w:sz w:val="21"/>
        </w:rPr>
        <w:t>Nothing in this agreement affects any claim under the policy for a different and future event, nor any statutory right that cannot be contracted away.</w:t>
      </w:r>
      <w:r>
        <w:rPr>
          <w:rFonts w:ascii="Calibri" w:hAnsi="Calibri"/>
          <w:b w:val="0"/>
          <w:i w:val="0"/>
          <w:color w:val="1B2A32"/>
          <w:sz w:val="21"/>
        </w:rPr>
        <w:t>”*</w:t>
      </w:r>
    </w:p>
    <w:p>
      <w:pPr>
        <w:keepNext/>
        <w:spacing w:before="200" w:after="60"/>
      </w:pPr>
      <w:r>
        <w:rPr>
          <w:rFonts w:ascii="Calibri" w:hAnsi="Calibri"/>
          <w:b/>
          <w:i w:val="0"/>
          <w:color w:val="1E7A8C"/>
          <w:sz w:val="25"/>
        </w:rPr>
        <w:t>2.4  B-4  Interest for delay</w:t>
      </w:r>
    </w:p>
    <w:p>
      <w:pPr>
        <w:spacing w:after="120"/>
        <w:jc w:val="both"/>
      </w:pPr>
      <w:r>
        <w:rPr>
          <w:rFonts w:ascii="Calibri" w:hAnsi="Calibri"/>
          <w:b w:val="0"/>
          <w:i w:val="0"/>
          <w:color w:val="1B2A32"/>
          <w:sz w:val="21"/>
        </w:rPr>
        <w:t>*“The settlement amount includes ₹______ on account of interest for the period from ______ to ______, computed at ______% per annum, without any admission as to liability for delay.”*</w:t>
      </w:r>
    </w:p>
    <w:p>
      <w:pPr>
        <w:keepNext/>
        <w:spacing w:before="200" w:after="60"/>
      </w:pPr>
      <w:r>
        <w:rPr>
          <w:rFonts w:ascii="Calibri" w:hAnsi="Calibri"/>
          <w:b/>
          <w:i w:val="0"/>
          <w:color w:val="1E7A8C"/>
          <w:sz w:val="25"/>
        </w:rPr>
        <w:t>2.5  B-5  Default and acceleration</w:t>
      </w:r>
    </w:p>
    <w:p>
      <w:pPr>
        <w:spacing w:after="120"/>
        <w:jc w:val="both"/>
      </w:pPr>
      <w:r>
        <w:rPr>
          <w:rFonts w:ascii="Calibri" w:hAnsi="Calibri"/>
          <w:b w:val="0"/>
          <w:i w:val="0"/>
          <w:color w:val="1B2A32"/>
          <w:sz w:val="21"/>
        </w:rPr>
        <w:t>*“If any amount is not paid by its due date, the whole outstanding balance becomes immediately due with interest at ______% per annum from the due date, and the aggrieved party may enforce this agreement as a decree of court under section 27 of the Mediation Act, 2023 without any further reference to mediation.”*</w:t>
      </w:r>
    </w:p>
    <w:p>
      <w:pPr>
        <w:keepNext/>
        <w:spacing w:before="200" w:after="60"/>
      </w:pPr>
      <w:r>
        <w:rPr>
          <w:rFonts w:ascii="Calibri" w:hAnsi="Calibri"/>
          <w:b/>
          <w:i w:val="0"/>
          <w:color w:val="1E7A8C"/>
          <w:sz w:val="25"/>
        </w:rPr>
        <w:t>2.6  B-6  Disposal in terms</w:t>
      </w:r>
    </w:p>
    <w:p>
      <w:pPr>
        <w:spacing w:after="120"/>
        <w:jc w:val="both"/>
      </w:pPr>
      <w:r>
        <w:rPr>
          <w:rFonts w:ascii="Calibri" w:hAnsi="Calibri"/>
          <w:b w:val="0"/>
          <w:i w:val="0"/>
          <w:color w:val="1B2A32"/>
          <w:sz w:val="21"/>
        </w:rPr>
        <w:t xml:space="preserve">*“The parties jointly request that complaint no. ______ pending before ______ be </w:t>
      </w:r>
      <w:r>
        <w:rPr>
          <w:rFonts w:ascii="Calibri" w:hAnsi="Calibri"/>
          <w:b/>
          <w:i w:val="0"/>
          <w:color w:val="1B2A32"/>
          <w:sz w:val="21"/>
        </w:rPr>
        <w:t>disposed of in terms of</w:t>
      </w:r>
      <w:r>
        <w:rPr>
          <w:rFonts w:ascii="Calibri" w:hAnsi="Calibri"/>
          <w:b w:val="0"/>
          <w:i w:val="0"/>
          <w:color w:val="1B2A32"/>
          <w:sz w:val="21"/>
        </w:rPr>
        <w:t xml:space="preserve"> the annexed settlement rather than withdrawn.”*</w:t>
      </w:r>
    </w:p>
    <w:p>
      <w:pPr>
        <w:keepNext/>
        <w:spacing w:before="200" w:after="60"/>
      </w:pPr>
      <w:r>
        <w:rPr>
          <w:rFonts w:ascii="Calibri" w:hAnsi="Calibri"/>
          <w:b/>
          <w:i w:val="0"/>
          <w:color w:val="1E7A8C"/>
          <w:sz w:val="25"/>
        </w:rPr>
        <w:t>2.7  B-7  Mis-selling — conversion</w:t>
      </w:r>
    </w:p>
    <w:p>
      <w:pPr>
        <w:spacing w:after="120"/>
        <w:jc w:val="both"/>
      </w:pPr>
      <w:r>
        <w:rPr>
          <w:rFonts w:ascii="Calibri" w:hAnsi="Calibri"/>
          <w:b w:val="0"/>
          <w:i w:val="0"/>
          <w:color w:val="1B2A32"/>
          <w:sz w:val="21"/>
        </w:rPr>
        <w:t>*“Policy no. ______ shall be converted to a paid-up policy with effect from ______ with no further premium payable. The insurer shall refund ₹______ within 15 days. The policyholder's obligations to pay any further premium under the policy stand discharged.”*</w:t>
      </w:r>
    </w:p>
    <w:p>
      <w:pPr>
        <w:keepNext/>
        <w:spacing w:before="200" w:after="60"/>
      </w:pPr>
      <w:r>
        <w:rPr>
          <w:rFonts w:ascii="Calibri" w:hAnsi="Calibri"/>
          <w:b/>
          <w:i w:val="0"/>
          <w:color w:val="1E7A8C"/>
          <w:sz w:val="25"/>
        </w:rPr>
        <w:t>2.8  B-8  Non-standard motor settlement</w:t>
      </w:r>
    </w:p>
    <w:p>
      <w:pPr>
        <w:spacing w:after="120"/>
        <w:jc w:val="both"/>
      </w:pPr>
      <w:r>
        <w:rPr>
          <w:rFonts w:ascii="Calibri" w:hAnsi="Calibri"/>
          <w:b w:val="0"/>
          <w:i w:val="0"/>
          <w:color w:val="1B2A32"/>
          <w:sz w:val="21"/>
        </w:rPr>
        <w:t>*“Without admission of liability and without prejudice, the insurer shall pay ______% of the assessed loss of ₹______, namely ₹______, in full and final settlement of claim no. ______, upon delivery of the registration certificate, keys, subrogation letter and the financier's no-objection certificate.”*</w:t>
      </w:r>
    </w:p>
    <w:p>
      <w:pPr>
        <w:keepNext/>
        <w:spacing w:before="280" w:after="120"/>
        <w:pBdr>
          <w:bottom w:val="single" w:sz="12" w:space="3" w:color="C6A15B"/>
        </w:pBdr>
      </w:pPr>
      <w:r>
        <w:rPr>
          <w:rFonts w:ascii="Calibri" w:hAnsi="Calibri"/>
          <w:b/>
          <w:i w:val="0"/>
          <w:color w:val="123B4F"/>
          <w:sz w:val="32"/>
        </w:rPr>
        <w:t>3.  C.  Institutional protocols</w:t>
      </w:r>
    </w:p>
    <w:p>
      <w:pPr>
        <w:keepNext/>
        <w:spacing w:before="200" w:after="60"/>
      </w:pPr>
      <w:r>
        <w:rPr>
          <w:rFonts w:ascii="Calibri" w:hAnsi="Calibri"/>
          <w:b/>
          <w:i w:val="0"/>
          <w:color w:val="1E7A8C"/>
          <w:sz w:val="25"/>
        </w:rPr>
        <w:t>3.1  C-1  Insurer protocol — core undertakings</w:t>
      </w:r>
    </w:p>
    <w:p>
      <w:pPr>
        <w:spacing w:after="120"/>
        <w:jc w:val="both"/>
      </w:pPr>
      <w:r>
        <w:rPr>
          <w:rFonts w:ascii="Calibri" w:hAnsi="Calibri"/>
          <w:b w:val="0"/>
          <w:i w:val="0"/>
          <w:color w:val="1B2A32"/>
          <w:sz w:val="21"/>
        </w:rPr>
        <w:t>*“The insurer undertakes to: (a) nominate a single point of contact and an officer with settlement authority of not less than ₹______; (b) produce the claim file, the policy wording as at the date of loss and any survey or investigation report relied upon within 14 days of notice; (c) respond to a mediation notice within 14 days; (d) not require any discharge voucher inconsistent with the terms of a signed settlement; (e) permit Equator to publish aggregate, anonymised outcome statistics for matters involving the insurer; and (f) not represent to any policyholder that referral to Equator affects that policyholder's right to approach the Insurance Ombudsman, a consumer commission or a court.”*</w:t>
      </w:r>
    </w:p>
    <w:p>
      <w:pPr>
        <w:keepNext/>
        <w:spacing w:before="200" w:after="60"/>
      </w:pPr>
      <w:r>
        <w:rPr>
          <w:rFonts w:ascii="Calibri" w:hAnsi="Calibri"/>
          <w:b/>
          <w:i w:val="0"/>
          <w:color w:val="1E7A8C"/>
          <w:sz w:val="25"/>
        </w:rPr>
        <w:t>3.2  C-2  Broker referral protocol — neutrality clause</w:t>
      </w:r>
    </w:p>
    <w:p>
      <w:pPr>
        <w:spacing w:after="120"/>
        <w:jc w:val="both"/>
      </w:pPr>
      <w:r>
        <w:rPr>
          <w:rFonts w:ascii="Calibri" w:hAnsi="Calibri"/>
          <w:b w:val="0"/>
          <w:i w:val="0"/>
          <w:color w:val="1B2A32"/>
          <w:sz w:val="21"/>
        </w:rPr>
        <w:t xml:space="preserve">*“The broker may inform a client of Equator's services. </w:t>
      </w:r>
      <w:r>
        <w:rPr>
          <w:rFonts w:ascii="Calibri" w:hAnsi="Calibri"/>
          <w:b/>
          <w:i w:val="0"/>
          <w:color w:val="1B2A32"/>
          <w:sz w:val="21"/>
        </w:rPr>
        <w:t>No fee, commission or other consideration shall pass between Equator and the broker in respect of any referral</w:t>
      </w:r>
      <w:r>
        <w:rPr>
          <w:rFonts w:ascii="Calibri" w:hAnsi="Calibri"/>
          <w:b w:val="0"/>
          <w:i w:val="0"/>
          <w:color w:val="1B2A32"/>
          <w:sz w:val="21"/>
        </w:rPr>
        <w:t>, and the broker shall have no role in the selection of the neutral. Where the broker's own conduct is in issue, the broker shall not participate save as a party.”*</w:t>
      </w:r>
    </w:p>
    <w:p>
      <w:pPr>
        <w:keepNext/>
        <w:spacing w:before="200" w:after="60"/>
      </w:pPr>
      <w:r>
        <w:rPr>
          <w:rFonts w:ascii="Calibri" w:hAnsi="Calibri"/>
          <w:b/>
          <w:i w:val="0"/>
          <w:color w:val="1E7A8C"/>
          <w:sz w:val="25"/>
        </w:rPr>
        <w:t>3.3  C-3  Hospital / TPA protocol — data clause</w:t>
      </w:r>
    </w:p>
    <w:p>
      <w:pPr>
        <w:spacing w:after="120"/>
        <w:jc w:val="both"/>
      </w:pPr>
      <w:r>
        <w:rPr>
          <w:rFonts w:ascii="Calibri" w:hAnsi="Calibri"/>
          <w:b w:val="0"/>
          <w:i w:val="0"/>
          <w:color w:val="1B2A32"/>
          <w:sz w:val="21"/>
        </w:rPr>
        <w:t>*“Medical records shall be furnished only in respect of the disputed claim, only on the written authority of the patient or the patient's lawful representative, and only to the case manager and neutral assigned. No record shall be retained beyond the retention period stated in Equator's schedule, and no record shall be used for any analytical, statistical or model-training purpose.”*</w:t>
      </w:r>
    </w:p>
    <w:p>
      <w:pPr>
        <w:keepNext/>
        <w:spacing w:before="200" w:after="60"/>
      </w:pPr>
      <w:r>
        <w:rPr>
          <w:rFonts w:ascii="Calibri" w:hAnsi="Calibri"/>
          <w:b/>
          <w:i w:val="0"/>
          <w:color w:val="1E7A8C"/>
          <w:sz w:val="25"/>
        </w:rPr>
        <w:t>3.4  C-4  Batched settlement day — standing grid</w:t>
      </w:r>
    </w:p>
    <w:p>
      <w:pPr>
        <w:spacing w:after="120"/>
        <w:jc w:val="both"/>
      </w:pPr>
      <w:r>
        <w:rPr>
          <w:rFonts w:ascii="Calibri" w:hAnsi="Calibri"/>
          <w:b w:val="0"/>
          <w:i w:val="0"/>
          <w:color w:val="1B2A32"/>
          <w:sz w:val="21"/>
        </w:rPr>
        <w:t>*“The parties agree a standing settlement grid before the first batched day, setting out, for each category of deduction and each band of claim value, the range within which the insurer's representative may settle without further approval. The grid is confidential to the parties and is not disclosed to any policyholder; no policyholder is bound by it and each remains free to decline any offer.”*</w:t>
      </w:r>
    </w:p>
    <w:p>
      <w:pPr>
        <w:keepNext/>
        <w:spacing w:before="280" w:after="120"/>
        <w:pBdr>
          <w:bottom w:val="single" w:sz="12" w:space="3" w:color="C6A15B"/>
        </w:pBdr>
      </w:pPr>
      <w:r>
        <w:rPr>
          <w:rFonts w:ascii="Calibri" w:hAnsi="Calibri"/>
          <w:b/>
          <w:i w:val="0"/>
          <w:color w:val="123B4F"/>
          <w:sz w:val="32"/>
        </w:rPr>
        <w:t>4.  D.  Clauses that must never appear</w:t>
      </w:r>
    </w:p>
    <w:tbl>
      <w:tblPr>
        <w:tblStyle w:val="TableGrid"/>
        <w:tblW w:type="auto" w:w="0"/>
        <w:jc w:val="center"/>
        <w:tblLook w:firstColumn="1" w:firstRow="1" w:lastColumn="0" w:lastRow="0" w:noHBand="0" w:noVBand="1" w:val="04A0"/>
      </w:tblPr>
      <w:tblGrid>
        <w:gridCol w:w="4752"/>
        <w:gridCol w:w="4752"/>
      </w:tblGrid>
      <w:tr>
        <w:tc>
          <w:tcPr>
            <w:tcW w:type="dxa" w:w="66240"/>
            <w:shd w:val="clear" w:fill="123B4F"/>
          </w:tcPr>
          <w:p>
            <w:r/>
            <w:r>
              <w:rPr>
                <w:rFonts w:ascii="Calibri" w:hAnsi="Calibri"/>
                <w:b/>
                <w:i w:val="0"/>
                <w:color w:val="FFFFFF"/>
                <w:sz w:val="18"/>
              </w:rPr>
              <w:t>Prohibited clause</w:t>
            </w:r>
          </w:p>
        </w:tc>
        <w:tc>
          <w:tcPr>
            <w:tcW w:type="dxa" w:w="77760"/>
            <w:shd w:val="clear" w:fill="123B4F"/>
          </w:tcPr>
          <w:p>
            <w:r/>
            <w:r>
              <w:rPr>
                <w:rFonts w:ascii="Calibri" w:hAnsi="Calibri"/>
                <w:b/>
                <w:i w:val="0"/>
                <w:color w:val="FFFFFF"/>
                <w:sz w:val="18"/>
              </w:rPr>
              <w:t>Why</w:t>
            </w:r>
          </w:p>
        </w:tc>
      </w:tr>
      <w:tr>
        <w:tc>
          <w:tcPr>
            <w:tcW w:type="dxa" w:w="66240"/>
          </w:tcPr>
          <w:p>
            <w:r/>
            <w:r>
              <w:rPr>
                <w:rFonts w:ascii="Calibri" w:hAnsi="Calibri"/>
                <w:b w:val="0"/>
                <w:i w:val="0"/>
                <w:color w:val="1B2A32"/>
                <w:sz w:val="18"/>
              </w:rPr>
              <w:t>Arbitration clause in a retail policy</w:t>
            </w:r>
          </w:p>
        </w:tc>
        <w:tc>
          <w:tcPr>
            <w:tcW w:type="dxa" w:w="77760"/>
          </w:tcPr>
          <w:p>
            <w:r/>
            <w:r>
              <w:rPr>
                <w:rFonts w:ascii="Calibri" w:hAnsi="Calibri"/>
                <w:b w:val="0"/>
                <w:i w:val="0"/>
                <w:color w:val="1B2A32"/>
                <w:sz w:val="18"/>
              </w:rPr>
              <w:t>IRDAI circular, 27 October 2023</w:t>
            </w:r>
          </w:p>
        </w:tc>
      </w:tr>
      <w:tr>
        <w:tc>
          <w:tcPr>
            <w:tcW w:type="dxa" w:w="66240"/>
            <w:shd w:val="clear" w:fill="F3F7F9"/>
          </w:tcPr>
          <w:p>
            <w:r/>
            <w:r>
              <w:rPr>
                <w:rFonts w:ascii="Calibri" w:hAnsi="Calibri"/>
                <w:b w:val="0"/>
                <w:i w:val="0"/>
                <w:color w:val="1B2A32"/>
                <w:sz w:val="18"/>
              </w:rPr>
              <w:t>“The policyholder waives the right to approach the Insurance Ombudsman / a consumer commission”</w:t>
            </w:r>
          </w:p>
        </w:tc>
        <w:tc>
          <w:tcPr>
            <w:tcW w:type="dxa" w:w="77760"/>
            <w:shd w:val="clear" w:fill="F3F7F9"/>
          </w:tcPr>
          <w:p>
            <w:r/>
            <w:r>
              <w:rPr>
                <w:rFonts w:ascii="Calibri" w:hAnsi="Calibri"/>
                <w:b w:val="0"/>
                <w:i w:val="0"/>
                <w:color w:val="1B2A32"/>
                <w:sz w:val="18"/>
              </w:rPr>
              <w:t>A statutory right that cannot be contracted away; the consumer remedy is not ousted by an arbitration clause</w:t>
            </w:r>
          </w:p>
        </w:tc>
      </w:tr>
      <w:tr>
        <w:tc>
          <w:tcPr>
            <w:tcW w:type="dxa" w:w="66240"/>
          </w:tcPr>
          <w:p>
            <w:r/>
            <w:r>
              <w:rPr>
                <w:rFonts w:ascii="Calibri" w:hAnsi="Calibri"/>
                <w:b w:val="0"/>
                <w:i w:val="0"/>
                <w:color w:val="1B2A32"/>
                <w:sz w:val="18"/>
              </w:rPr>
              <w:t>“This settlement discharges all future claims under the policy”</w:t>
            </w:r>
          </w:p>
        </w:tc>
        <w:tc>
          <w:tcPr>
            <w:tcW w:type="dxa" w:w="77760"/>
          </w:tcPr>
          <w:p>
            <w:r/>
            <w:r>
              <w:rPr>
                <w:rFonts w:ascii="Calibri" w:hAnsi="Calibri"/>
                <w:b w:val="0"/>
                <w:i w:val="0"/>
                <w:color w:val="1B2A32"/>
                <w:sz w:val="18"/>
              </w:rPr>
              <w:t>Overbroad; unenforceable and unethical</w:t>
            </w:r>
          </w:p>
        </w:tc>
      </w:tr>
      <w:tr>
        <w:tc>
          <w:tcPr>
            <w:tcW w:type="dxa" w:w="66240"/>
            <w:shd w:val="clear" w:fill="F3F7F9"/>
          </w:tcPr>
          <w:p>
            <w:r/>
            <w:r>
              <w:rPr>
                <w:rFonts w:ascii="Calibri" w:hAnsi="Calibri"/>
                <w:b w:val="0"/>
                <w:i w:val="0"/>
                <w:color w:val="1B2A32"/>
                <w:sz w:val="18"/>
              </w:rPr>
              <w:t>“The policyholder shall not disclose the existence of this dispute”</w:t>
            </w:r>
          </w:p>
        </w:tc>
        <w:tc>
          <w:tcPr>
            <w:tcW w:type="dxa" w:w="77760"/>
            <w:shd w:val="clear" w:fill="F3F7F9"/>
          </w:tcPr>
          <w:p>
            <w:r/>
            <w:r>
              <w:rPr>
                <w:rFonts w:ascii="Calibri" w:hAnsi="Calibri"/>
                <w:b w:val="0"/>
                <w:i w:val="0"/>
                <w:color w:val="1B2A32"/>
                <w:sz w:val="18"/>
              </w:rPr>
              <w:t>A confidentiality term about the *terms* is acceptable; a gag on the fact of a dispute is not</w:t>
            </w:r>
          </w:p>
        </w:tc>
      </w:tr>
      <w:tr>
        <w:tc>
          <w:tcPr>
            <w:tcW w:type="dxa" w:w="66240"/>
          </w:tcPr>
          <w:p>
            <w:r/>
            <w:r>
              <w:rPr>
                <w:rFonts w:ascii="Calibri" w:hAnsi="Calibri"/>
                <w:b w:val="0"/>
                <w:i w:val="0"/>
                <w:color w:val="1B2A32"/>
                <w:sz w:val="18"/>
              </w:rPr>
              <w:t>Any fee term linking Equator's remuneration to the settlement amount</w:t>
            </w:r>
          </w:p>
        </w:tc>
        <w:tc>
          <w:tcPr>
            <w:tcW w:type="dxa" w:w="77760"/>
          </w:tcPr>
          <w:p>
            <w:r/>
            <w:r>
              <w:rPr>
                <w:rFonts w:ascii="Calibri" w:hAnsi="Calibri"/>
                <w:b w:val="0"/>
                <w:i w:val="0"/>
                <w:color w:val="1B2A32"/>
                <w:sz w:val="18"/>
              </w:rPr>
              <w:t>Rule 27 — Equator must have no interest in the number</w:t>
            </w:r>
          </w:p>
        </w:tc>
      </w:tr>
      <w:tr>
        <w:tc>
          <w:tcPr>
            <w:tcW w:type="dxa" w:w="66240"/>
            <w:shd w:val="clear" w:fill="F3F7F9"/>
          </w:tcPr>
          <w:p>
            <w:r/>
            <w:r>
              <w:rPr>
                <w:rFonts w:ascii="Calibri" w:hAnsi="Calibri"/>
                <w:b w:val="0"/>
                <w:i w:val="0"/>
                <w:color w:val="1B2A32"/>
                <w:sz w:val="18"/>
              </w:rPr>
              <w:t>“Mediation is a condition precedent to any other remedy” in a retail policy</w:t>
            </w:r>
          </w:p>
        </w:tc>
        <w:tc>
          <w:tcPr>
            <w:tcW w:type="dxa" w:w="77760"/>
            <w:shd w:val="clear" w:fill="F3F7F9"/>
          </w:tcPr>
          <w:p>
            <w:r/>
            <w:r>
              <w:rPr>
                <w:rFonts w:ascii="Calibri" w:hAnsi="Calibri"/>
                <w:b w:val="0"/>
                <w:i w:val="0"/>
                <w:color w:val="1B2A32"/>
                <w:sz w:val="18"/>
              </w:rPr>
              <w:t>Delays access to a free statutory forum</w:t>
            </w:r>
          </w:p>
        </w:tc>
      </w:tr>
    </w:tbl>
    <w:p>
      <w:pPr>
        <w:spacing w:after="40"/>
      </w:pP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Insurance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785E31E-3C50-4216-9262-B81118F1A3BF}"/>
</file>

<file path=customXml/itemProps3.xml><?xml version="1.0" encoding="utf-8"?>
<ds:datastoreItem xmlns:ds="http://schemas.openxmlformats.org/officeDocument/2006/customXml" ds:itemID="{9D4709B3-CDE8-43FF-A9E5-6194F93CE5C3}"/>
</file>

<file path=customXml/itemProps4.xml><?xml version="1.0" encoding="utf-8"?>
<ds:datastoreItem xmlns:ds="http://schemas.openxmlformats.org/officeDocument/2006/customXml" ds:itemID="{C46A3F55-0539-468D-892F-6DD73A6A72D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