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Insurance Line Playbooks</w:t>
      </w:r>
    </w:p>
    <w:p>
      <w:pPr>
        <w:jc w:val="center"/>
      </w:pPr>
      <w:r>
        <w:rPr>
          <w:rFonts w:ascii="Calibri" w:hAnsi="Calibri"/>
          <w:b w:val="0"/>
          <w:i/>
          <w:color w:val="556168"/>
          <w:sz w:val="25"/>
        </w:rPr>
        <w:t>Health · Motor · Life · Commercial lines · Mis-selling</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How to use these playbooks</w:t>
      </w:r>
    </w:p>
    <w:p>
      <w:pPr>
        <w:spacing w:after="120"/>
        <w:jc w:val="both"/>
      </w:pPr>
      <w:r>
        <w:rPr>
          <w:rFonts w:ascii="Calibri" w:hAnsi="Calibri"/>
          <w:b w:val="0"/>
          <w:i w:val="0"/>
          <w:color w:val="1B2A32"/>
          <w:sz w:val="21"/>
        </w:rPr>
        <w:t xml:space="preserve">One playbook per line of business. Each follows the same five-part structure: </w:t>
      </w:r>
      <w:r>
        <w:rPr>
          <w:rFonts w:ascii="Calibri" w:hAnsi="Calibri"/>
          <w:b/>
          <w:i w:val="0"/>
          <w:color w:val="1B2A32"/>
          <w:sz w:val="21"/>
        </w:rPr>
        <w:t>what the dispute usually is</w:t>
      </w:r>
      <w:r>
        <w:rPr>
          <w:rFonts w:ascii="Calibri" w:hAnsi="Calibri"/>
          <w:b w:val="0"/>
          <w:i w:val="0"/>
          <w:color w:val="1B2A32"/>
          <w:sz w:val="21"/>
        </w:rPr>
        <w:t xml:space="preserve">, </w:t>
      </w:r>
      <w:r>
        <w:rPr>
          <w:rFonts w:ascii="Calibri" w:hAnsi="Calibri"/>
          <w:b/>
          <w:i w:val="0"/>
          <w:color w:val="1B2A32"/>
          <w:sz w:val="21"/>
        </w:rPr>
        <w:t>the documents that decide it</w:t>
      </w:r>
      <w:r>
        <w:rPr>
          <w:rFonts w:ascii="Calibri" w:hAnsi="Calibri"/>
          <w:b w:val="0"/>
          <w:i w:val="0"/>
          <w:color w:val="1B2A32"/>
          <w:sz w:val="21"/>
        </w:rPr>
        <w:t xml:space="preserve">, </w:t>
      </w:r>
      <w:r>
        <w:rPr>
          <w:rFonts w:ascii="Calibri" w:hAnsi="Calibri"/>
          <w:b/>
          <w:i w:val="0"/>
          <w:color w:val="1B2A32"/>
          <w:sz w:val="21"/>
        </w:rPr>
        <w:t>the questions that move it</w:t>
      </w:r>
      <w:r>
        <w:rPr>
          <w:rFonts w:ascii="Calibri" w:hAnsi="Calibri"/>
          <w:b w:val="0"/>
          <w:i w:val="0"/>
          <w:color w:val="1B2A32"/>
          <w:sz w:val="21"/>
        </w:rPr>
        <w:t xml:space="preserve">, </w:t>
      </w:r>
      <w:r>
        <w:rPr>
          <w:rFonts w:ascii="Calibri" w:hAnsi="Calibri"/>
          <w:b/>
          <w:i w:val="0"/>
          <w:color w:val="1B2A32"/>
          <w:sz w:val="21"/>
        </w:rPr>
        <w:t>the settlement shapes that work</w:t>
      </w:r>
      <w:r>
        <w:rPr>
          <w:rFonts w:ascii="Calibri" w:hAnsi="Calibri"/>
          <w:b w:val="0"/>
          <w:i w:val="0"/>
          <w:color w:val="1B2A32"/>
          <w:sz w:val="21"/>
        </w:rPr>
        <w:t xml:space="preserve">, and </w:t>
      </w:r>
      <w:r>
        <w:rPr>
          <w:rFonts w:ascii="Calibri" w:hAnsi="Calibri"/>
          <w:b/>
          <w:i w:val="0"/>
          <w:color w:val="1B2A32"/>
          <w:sz w:val="21"/>
        </w:rPr>
        <w:t>the traps</w:t>
      </w:r>
      <w:r>
        <w:rPr>
          <w:rFonts w:ascii="Calibri" w:hAnsi="Calibri"/>
          <w:b w:val="0"/>
          <w:i w:val="0"/>
          <w:color w:val="1B2A32"/>
          <w:sz w:val="21"/>
        </w:rPr>
        <w:t>. They are written for the case manager preparing the file and the neutral running the session.</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A NOTE ON WHAT THESE ARE NOT</w:t>
            </w:r>
          </w:p>
          <w:p>
            <w:r>
              <w:rPr>
                <w:rFonts w:ascii="Calibri" w:hAnsi="Calibri"/>
                <w:b w:val="0"/>
                <w:i w:val="0"/>
                <w:color w:val="1B2A32"/>
                <w:sz w:val="19"/>
              </w:rPr>
              <w:t>These are not legal opinions and they do not tell anyone how a case should be decided. They describe how disputes of each kind are structured and where the negotiable elements usually lie. Whether any particular ground is good is for the parties, their advisers and the appropriate forum.</w:t>
            </w:r>
          </w:p>
        </w:tc>
      </w:tr>
    </w:tbl>
    <w:p>
      <w:pPr>
        <w:spacing w:after="40"/>
      </w:pPr>
    </w:p>
    <w:p>
      <w:pPr>
        <w:keepNext/>
        <w:spacing w:before="280" w:after="120"/>
        <w:pBdr>
          <w:bottom w:val="single" w:sz="12" w:space="3" w:color="C6A15B"/>
        </w:pBdr>
      </w:pPr>
      <w:r>
        <w:rPr>
          <w:rFonts w:ascii="Calibri" w:hAnsi="Calibri"/>
          <w:b/>
          <w:i w:val="0"/>
          <w:color w:val="123B4F"/>
          <w:sz w:val="32"/>
        </w:rPr>
        <w:t>1.  Playbook 1 — Health insurance</w:t>
      </w:r>
    </w:p>
    <w:p>
      <w:pPr>
        <w:keepNext/>
        <w:spacing w:before="200" w:after="60"/>
      </w:pPr>
      <w:r>
        <w:rPr>
          <w:rFonts w:ascii="Calibri" w:hAnsi="Calibri"/>
          <w:b/>
          <w:i w:val="0"/>
          <w:color w:val="1E7A8C"/>
          <w:sz w:val="25"/>
        </w:rPr>
        <w:t>1.1  1.1  What the dispute usually is</w:t>
      </w:r>
    </w:p>
    <w:p>
      <w:pPr>
        <w:spacing w:after="120"/>
        <w:jc w:val="both"/>
      </w:pPr>
      <w:r>
        <w:rPr>
          <w:rFonts w:ascii="Calibri" w:hAnsi="Calibri"/>
          <w:b w:val="0"/>
          <w:i w:val="0"/>
          <w:color w:val="1B2A32"/>
          <w:sz w:val="21"/>
        </w:rPr>
        <w:t>Health is the largest single source of general-insurance grievances in India. Six patterns account for most of them: pre-existing disease and waiting periods; room-rent capping with proportionate deduction; co-pay and sub-limits; non-medical and consumable items; cashless denial; and “not medically necessary”.</w:t>
      </w:r>
    </w:p>
    <w:p>
      <w:pPr>
        <w:keepNext/>
        <w:spacing w:before="200" w:after="60"/>
      </w:pPr>
      <w:r>
        <w:rPr>
          <w:rFonts w:ascii="Calibri" w:hAnsi="Calibri"/>
          <w:b/>
          <w:i w:val="0"/>
          <w:color w:val="1E7A8C"/>
          <w:sz w:val="25"/>
        </w:rPr>
        <w:t>1.2  1.2  The documents that decide it</w:t>
      </w:r>
    </w:p>
    <w:tbl>
      <w:tblPr>
        <w:tblStyle w:val="TableGrid"/>
        <w:tblW w:type="auto" w:w="0"/>
        <w:jc w:val="center"/>
        <w:tblLook w:firstColumn="1" w:firstRow="1" w:lastColumn="0" w:lastRow="0" w:noHBand="0" w:noVBand="1" w:val="04A0"/>
      </w:tblPr>
      <w:tblGrid>
        <w:gridCol w:w="4752"/>
        <w:gridCol w:w="4752"/>
      </w:tblGrid>
      <w:tr>
        <w:tc>
          <w:tcPr>
            <w:tcW w:type="dxa" w:w="48960"/>
            <w:shd w:val="clear" w:fill="123B4F"/>
          </w:tcPr>
          <w:p>
            <w:r/>
            <w:r>
              <w:rPr>
                <w:rFonts w:ascii="Calibri" w:hAnsi="Calibri"/>
                <w:b/>
                <w:i w:val="0"/>
                <w:color w:val="FFFFFF"/>
                <w:sz w:val="18"/>
              </w:rPr>
              <w:t>Document</w:t>
            </w:r>
          </w:p>
        </w:tc>
        <w:tc>
          <w:tcPr>
            <w:tcW w:type="dxa" w:w="95040"/>
            <w:shd w:val="clear" w:fill="123B4F"/>
          </w:tcPr>
          <w:p>
            <w:r/>
            <w:r>
              <w:rPr>
                <w:rFonts w:ascii="Calibri" w:hAnsi="Calibri"/>
                <w:b/>
                <w:i w:val="0"/>
                <w:color w:val="FFFFFF"/>
                <w:sz w:val="18"/>
              </w:rPr>
              <w:t>What you look for</w:t>
            </w:r>
          </w:p>
        </w:tc>
      </w:tr>
      <w:tr>
        <w:tc>
          <w:tcPr>
            <w:tcW w:type="dxa" w:w="48960"/>
          </w:tcPr>
          <w:p>
            <w:r/>
            <w:r>
              <w:rPr>
                <w:rFonts w:ascii="Calibri" w:hAnsi="Calibri"/>
                <w:b w:val="0"/>
                <w:i w:val="0"/>
                <w:color w:val="1B2A32"/>
                <w:sz w:val="18"/>
              </w:rPr>
              <w:t>Policy schedule and wordings</w:t>
            </w:r>
          </w:p>
        </w:tc>
        <w:tc>
          <w:tcPr>
            <w:tcW w:type="dxa" w:w="95040"/>
          </w:tcPr>
          <w:p>
            <w:r/>
            <w:r>
              <w:rPr>
                <w:rFonts w:ascii="Calibri" w:hAnsi="Calibri"/>
                <w:b w:val="0"/>
                <w:i w:val="0"/>
                <w:color w:val="1B2A32"/>
                <w:sz w:val="18"/>
              </w:rPr>
              <w:t>Room-rent eligibility, co-pay, sub-limits, PED waiting period, the definition of hospital and of pre-existing</w:t>
            </w:r>
          </w:p>
        </w:tc>
      </w:tr>
      <w:tr>
        <w:tc>
          <w:tcPr>
            <w:tcW w:type="dxa" w:w="48960"/>
            <w:shd w:val="clear" w:fill="F3F7F9"/>
          </w:tcPr>
          <w:p>
            <w:r/>
            <w:r>
              <w:rPr>
                <w:rFonts w:ascii="Calibri" w:hAnsi="Calibri"/>
                <w:b/>
                <w:i w:val="0"/>
                <w:color w:val="1B2A32"/>
                <w:sz w:val="18"/>
              </w:rPr>
              <w:t>First-ever policy</w:t>
            </w:r>
            <w:r>
              <w:rPr>
                <w:rFonts w:ascii="Calibri" w:hAnsi="Calibri"/>
                <w:b w:val="0"/>
                <w:i w:val="0"/>
                <w:color w:val="1B2A32"/>
                <w:sz w:val="18"/>
              </w:rPr>
              <w:t xml:space="preserve"> (not just the current year)</w:t>
            </w:r>
          </w:p>
        </w:tc>
        <w:tc>
          <w:tcPr>
            <w:tcW w:type="dxa" w:w="95040"/>
            <w:shd w:val="clear" w:fill="F3F7F9"/>
          </w:tcPr>
          <w:p>
            <w:r/>
            <w:r>
              <w:rPr>
                <w:rFonts w:ascii="Calibri" w:hAnsi="Calibri"/>
                <w:b w:val="0"/>
                <w:i w:val="0"/>
                <w:color w:val="1B2A32"/>
                <w:sz w:val="18"/>
              </w:rPr>
              <w:t>The date continuous cover began — this is the single most important date in a health dispute</w:t>
            </w:r>
          </w:p>
        </w:tc>
      </w:tr>
      <w:tr>
        <w:tc>
          <w:tcPr>
            <w:tcW w:type="dxa" w:w="48960"/>
          </w:tcPr>
          <w:p>
            <w:r/>
            <w:r>
              <w:rPr>
                <w:rFonts w:ascii="Calibri" w:hAnsi="Calibri"/>
                <w:b w:val="0"/>
                <w:i w:val="0"/>
                <w:color w:val="1B2A32"/>
                <w:sz w:val="18"/>
              </w:rPr>
              <w:t>Portability documents</w:t>
            </w:r>
          </w:p>
        </w:tc>
        <w:tc>
          <w:tcPr>
            <w:tcW w:type="dxa" w:w="95040"/>
          </w:tcPr>
          <w:p>
            <w:r/>
            <w:r>
              <w:rPr>
                <w:rFonts w:ascii="Calibri" w:hAnsi="Calibri"/>
                <w:b w:val="0"/>
                <w:i w:val="0"/>
                <w:color w:val="1B2A32"/>
                <w:sz w:val="18"/>
              </w:rPr>
              <w:t>Whether continuity credit for waiting periods carried over</w:t>
            </w:r>
          </w:p>
        </w:tc>
      </w:tr>
      <w:tr>
        <w:tc>
          <w:tcPr>
            <w:tcW w:type="dxa" w:w="48960"/>
            <w:shd w:val="clear" w:fill="F3F7F9"/>
          </w:tcPr>
          <w:p>
            <w:r/>
            <w:r>
              <w:rPr>
                <w:rFonts w:ascii="Calibri" w:hAnsi="Calibri"/>
                <w:b w:val="0"/>
                <w:i w:val="0"/>
                <w:color w:val="1B2A32"/>
                <w:sz w:val="18"/>
              </w:rPr>
              <w:t>Proposal form</w:t>
            </w:r>
          </w:p>
        </w:tc>
        <w:tc>
          <w:tcPr>
            <w:tcW w:type="dxa" w:w="95040"/>
            <w:shd w:val="clear" w:fill="F3F7F9"/>
          </w:tcPr>
          <w:p>
            <w:r/>
            <w:r>
              <w:rPr>
                <w:rFonts w:ascii="Calibri" w:hAnsi="Calibri"/>
                <w:b w:val="0"/>
                <w:i w:val="0"/>
                <w:color w:val="1B2A32"/>
                <w:sz w:val="18"/>
              </w:rPr>
              <w:t>Whether the condition was in fact disclosed</w:t>
            </w:r>
          </w:p>
        </w:tc>
      </w:tr>
      <w:tr>
        <w:tc>
          <w:tcPr>
            <w:tcW w:type="dxa" w:w="48960"/>
          </w:tcPr>
          <w:p>
            <w:r/>
            <w:r>
              <w:rPr>
                <w:rFonts w:ascii="Calibri" w:hAnsi="Calibri"/>
                <w:b w:val="0"/>
                <w:i w:val="0"/>
                <w:color w:val="1B2A32"/>
                <w:sz w:val="18"/>
              </w:rPr>
              <w:t>Itemised hospital bill</w:t>
            </w:r>
          </w:p>
        </w:tc>
        <w:tc>
          <w:tcPr>
            <w:tcW w:type="dxa" w:w="95040"/>
          </w:tcPr>
          <w:p>
            <w:r/>
            <w:r>
              <w:rPr>
                <w:rFonts w:ascii="Calibri" w:hAnsi="Calibri"/>
                <w:b w:val="0"/>
                <w:i w:val="0"/>
                <w:color w:val="1B2A32"/>
                <w:sz w:val="18"/>
              </w:rPr>
              <w:t>The line items that the deduction schedule is built from</w:t>
            </w:r>
          </w:p>
        </w:tc>
      </w:tr>
      <w:tr>
        <w:tc>
          <w:tcPr>
            <w:tcW w:type="dxa" w:w="48960"/>
            <w:shd w:val="clear" w:fill="F3F7F9"/>
          </w:tcPr>
          <w:p>
            <w:r/>
            <w:r>
              <w:rPr>
                <w:rFonts w:ascii="Calibri" w:hAnsi="Calibri"/>
                <w:b w:val="0"/>
                <w:i w:val="0"/>
                <w:color w:val="1B2A32"/>
                <w:sz w:val="18"/>
              </w:rPr>
              <w:t>Discharge summary</w:t>
            </w:r>
          </w:p>
        </w:tc>
        <w:tc>
          <w:tcPr>
            <w:tcW w:type="dxa" w:w="95040"/>
            <w:shd w:val="clear" w:fill="F3F7F9"/>
          </w:tcPr>
          <w:p>
            <w:r/>
            <w:r>
              <w:rPr>
                <w:rFonts w:ascii="Calibri" w:hAnsi="Calibri"/>
                <w:b w:val="0"/>
                <w:i w:val="0"/>
                <w:color w:val="1B2A32"/>
                <w:sz w:val="18"/>
              </w:rPr>
              <w:t>The diagnosis, the procedure and — often — the sentence the insurer relies on for pre-existence</w:t>
            </w:r>
          </w:p>
        </w:tc>
      </w:tr>
      <w:tr>
        <w:tc>
          <w:tcPr>
            <w:tcW w:type="dxa" w:w="48960"/>
          </w:tcPr>
          <w:p>
            <w:r/>
            <w:r>
              <w:rPr>
                <w:rFonts w:ascii="Calibri" w:hAnsi="Calibri"/>
                <w:b w:val="0"/>
                <w:i w:val="0"/>
                <w:color w:val="1B2A32"/>
                <w:sz w:val="18"/>
              </w:rPr>
              <w:t>TPA computation sheet</w:t>
            </w:r>
          </w:p>
        </w:tc>
        <w:tc>
          <w:tcPr>
            <w:tcW w:type="dxa" w:w="95040"/>
          </w:tcPr>
          <w:p>
            <w:r/>
            <w:r>
              <w:rPr>
                <w:rFonts w:ascii="Calibri" w:hAnsi="Calibri"/>
                <w:b/>
                <w:i w:val="0"/>
                <w:color w:val="1B2A32"/>
                <w:sz w:val="18"/>
              </w:rPr>
              <w:t>The order in which deductions were applied.</w:t>
            </w:r>
            <w:r>
              <w:rPr>
                <w:rFonts w:ascii="Calibri" w:hAnsi="Calibri"/>
                <w:b w:val="0"/>
                <w:i w:val="0"/>
                <w:color w:val="1B2A32"/>
                <w:sz w:val="18"/>
              </w:rPr>
              <w:t xml:space="preserve"> Ask for this explicitly; it is rarely volunteered</w:t>
            </w:r>
          </w:p>
        </w:tc>
      </w:tr>
      <w:tr>
        <w:tc>
          <w:tcPr>
            <w:tcW w:type="dxa" w:w="48960"/>
            <w:shd w:val="clear" w:fill="F3F7F9"/>
          </w:tcPr>
          <w:p>
            <w:r/>
            <w:r>
              <w:rPr>
                <w:rFonts w:ascii="Calibri" w:hAnsi="Calibri"/>
                <w:b w:val="0"/>
                <w:i w:val="0"/>
                <w:color w:val="1B2A32"/>
                <w:sz w:val="18"/>
              </w:rPr>
              <w:t>Pre-authorisation trail</w:t>
            </w:r>
          </w:p>
        </w:tc>
        <w:tc>
          <w:tcPr>
            <w:tcW w:type="dxa" w:w="95040"/>
            <w:shd w:val="clear" w:fill="F3F7F9"/>
          </w:tcPr>
          <w:p>
            <w:r/>
            <w:r>
              <w:rPr>
                <w:rFonts w:ascii="Calibri" w:hAnsi="Calibri"/>
                <w:b w:val="0"/>
                <w:i w:val="0"/>
                <w:color w:val="1B2A32"/>
                <w:sz w:val="18"/>
              </w:rPr>
              <w:t>The time of request, the time of denial and the reason given</w:t>
            </w:r>
          </w:p>
        </w:tc>
      </w:tr>
    </w:tbl>
    <w:p>
      <w:pPr>
        <w:spacing w:after="40"/>
      </w:pPr>
    </w:p>
    <w:p>
      <w:pPr>
        <w:keepNext/>
        <w:spacing w:before="200" w:after="60"/>
      </w:pPr>
      <w:r>
        <w:rPr>
          <w:rFonts w:ascii="Calibri" w:hAnsi="Calibri"/>
          <w:b/>
          <w:i w:val="0"/>
          <w:color w:val="1E7A8C"/>
          <w:sz w:val="25"/>
        </w:rPr>
        <w:t>1.3  1.3  The questions that move it</w:t>
      </w:r>
    </w:p>
    <w:p>
      <w:pPr>
        <w:pStyle w:val="ListBullet"/>
        <w:spacing w:after="60"/>
        <w:jc w:val="both"/>
      </w:pPr>
      <w:r>
        <w:rPr>
          <w:rFonts w:ascii="Calibri" w:hAnsi="Calibri"/>
          <w:b w:val="0"/>
          <w:i w:val="0"/>
          <w:color w:val="1B2A32"/>
          <w:sz w:val="21"/>
        </w:rPr>
        <w:t xml:space="preserve">Does this head of charge </w:t>
      </w:r>
      <w:r>
        <w:rPr>
          <w:rFonts w:ascii="Calibri" w:hAnsi="Calibri"/>
          <w:b/>
          <w:i w:val="0"/>
          <w:color w:val="1B2A32"/>
          <w:sz w:val="21"/>
        </w:rPr>
        <w:t>actually vary with room category</w:t>
      </w:r>
      <w:r>
        <w:rPr>
          <w:rFonts w:ascii="Calibri" w:hAnsi="Calibri"/>
          <w:b w:val="0"/>
          <w:i w:val="0"/>
          <w:color w:val="1B2A32"/>
          <w:sz w:val="21"/>
        </w:rPr>
        <w:t>? Surgeon's fees, the anaesthetist's fees, implants and investigations usually do not.</w:t>
      </w:r>
    </w:p>
    <w:p>
      <w:pPr>
        <w:pStyle w:val="ListBullet"/>
        <w:spacing w:after="60"/>
        <w:jc w:val="both"/>
      </w:pPr>
      <w:r>
        <w:rPr>
          <w:rFonts w:ascii="Calibri" w:hAnsi="Calibri"/>
          <w:b w:val="0"/>
          <w:i w:val="0"/>
          <w:color w:val="1B2A32"/>
          <w:sz w:val="21"/>
        </w:rPr>
        <w:t xml:space="preserve">Was co-pay applied </w:t>
      </w:r>
      <w:r>
        <w:rPr>
          <w:rFonts w:ascii="Calibri" w:hAnsi="Calibri"/>
          <w:b/>
          <w:i w:val="0"/>
          <w:color w:val="1B2A32"/>
          <w:sz w:val="21"/>
        </w:rPr>
        <w:t>before or after</w:t>
      </w:r>
      <w:r>
        <w:rPr>
          <w:rFonts w:ascii="Calibri" w:hAnsi="Calibri"/>
          <w:b w:val="0"/>
          <w:i w:val="0"/>
          <w:color w:val="1B2A32"/>
          <w:sz w:val="21"/>
        </w:rPr>
        <w:t xml:space="preserve"> the proportionate reduction? After is double-counting.</w:t>
      </w:r>
    </w:p>
    <w:p>
      <w:pPr>
        <w:pStyle w:val="ListBullet"/>
        <w:spacing w:after="60"/>
        <w:jc w:val="both"/>
      </w:pPr>
      <w:r>
        <w:rPr>
          <w:rFonts w:ascii="Calibri" w:hAnsi="Calibri"/>
          <w:b w:val="0"/>
          <w:i w:val="0"/>
          <w:color w:val="1B2A32"/>
          <w:sz w:val="21"/>
        </w:rPr>
        <w:t xml:space="preserve">When did continuous cover </w:t>
      </w:r>
      <w:r>
        <w:rPr>
          <w:rFonts w:ascii="Calibri" w:hAnsi="Calibri"/>
          <w:b/>
          <w:i w:val="0"/>
          <w:color w:val="1B2A32"/>
          <w:sz w:val="21"/>
        </w:rPr>
        <w:t>first</w:t>
      </w:r>
      <w:r>
        <w:rPr>
          <w:rFonts w:ascii="Calibri" w:hAnsi="Calibri"/>
          <w:b w:val="0"/>
          <w:i w:val="0"/>
          <w:color w:val="1B2A32"/>
          <w:sz w:val="21"/>
        </w:rPr>
        <w:t xml:space="preserve"> begin — and was the PED waiting period complete at the date of admission?</w:t>
      </w:r>
    </w:p>
    <w:p>
      <w:pPr>
        <w:pStyle w:val="ListBullet"/>
        <w:spacing w:after="60"/>
        <w:jc w:val="both"/>
      </w:pPr>
      <w:r>
        <w:rPr>
          <w:rFonts w:ascii="Calibri" w:hAnsi="Calibri"/>
          <w:b w:val="0"/>
          <w:i w:val="0"/>
          <w:color w:val="1B2A32"/>
          <w:sz w:val="21"/>
        </w:rPr>
        <w:t>If the policy was ported, what continuity credit was given?</w:t>
      </w:r>
    </w:p>
    <w:p>
      <w:pPr>
        <w:pStyle w:val="ListBullet"/>
        <w:spacing w:after="60"/>
        <w:jc w:val="both"/>
      </w:pPr>
      <w:r>
        <w:rPr>
          <w:rFonts w:ascii="Calibri" w:hAnsi="Calibri"/>
          <w:b w:val="0"/>
          <w:i w:val="0"/>
          <w:color w:val="1B2A32"/>
          <w:sz w:val="21"/>
        </w:rPr>
        <w:t>What evidence establishes pre-existence — a diagnosis, or an inference from one line in a discharge summary?</w:t>
      </w:r>
    </w:p>
    <w:p>
      <w:pPr>
        <w:pStyle w:val="ListBullet"/>
        <w:spacing w:after="60"/>
        <w:jc w:val="both"/>
      </w:pPr>
      <w:r>
        <w:rPr>
          <w:rFonts w:ascii="Calibri" w:hAnsi="Calibri"/>
          <w:b w:val="0"/>
          <w:i w:val="0"/>
          <w:color w:val="1B2A32"/>
          <w:sz w:val="21"/>
        </w:rPr>
        <w:t xml:space="preserve">Was the higher room category </w:t>
      </w:r>
      <w:r>
        <w:rPr>
          <w:rFonts w:ascii="Calibri" w:hAnsi="Calibri"/>
          <w:b/>
          <w:i w:val="0"/>
          <w:color w:val="1B2A32"/>
          <w:sz w:val="21"/>
        </w:rPr>
        <w:t>medically necessary</w:t>
      </w:r>
      <w:r>
        <w:rPr>
          <w:rFonts w:ascii="Calibri" w:hAnsi="Calibri"/>
          <w:b w:val="0"/>
          <w:i w:val="0"/>
          <w:color w:val="1B2A32"/>
          <w:sz w:val="21"/>
        </w:rPr>
        <w:t>, or the only one available?</w:t>
      </w:r>
    </w:p>
    <w:p>
      <w:pPr>
        <w:pStyle w:val="ListBullet"/>
        <w:spacing w:after="60"/>
        <w:jc w:val="both"/>
      </w:pPr>
      <w:r>
        <w:rPr>
          <w:rFonts w:ascii="Calibri" w:hAnsi="Calibri"/>
          <w:b w:val="0"/>
          <w:i w:val="0"/>
          <w:color w:val="1B2A32"/>
          <w:sz w:val="21"/>
        </w:rPr>
        <w:t>Which consumables were integral to the procedure rather than incidental to it?</w:t>
      </w:r>
    </w:p>
    <w:p>
      <w:pPr>
        <w:pStyle w:val="ListBullet"/>
        <w:spacing w:after="60"/>
        <w:jc w:val="both"/>
      </w:pPr>
      <w:r>
        <w:rPr>
          <w:rFonts w:ascii="Calibri" w:hAnsi="Calibri"/>
          <w:b w:val="0"/>
          <w:i w:val="0"/>
          <w:color w:val="1B2A32"/>
          <w:sz w:val="21"/>
        </w:rPr>
        <w:t>Is a cashless denial being treated as a claim decision? It is not — reimbursement remains open.</w:t>
      </w:r>
    </w:p>
    <w:p>
      <w:pPr>
        <w:keepNext/>
        <w:spacing w:before="200" w:after="60"/>
      </w:pPr>
      <w:r>
        <w:rPr>
          <w:rFonts w:ascii="Calibri" w:hAnsi="Calibri"/>
          <w:b/>
          <w:i w:val="0"/>
          <w:color w:val="1E7A8C"/>
          <w:sz w:val="25"/>
        </w:rPr>
        <w:t>1.4  1.4  Settlement shapes that work</w:t>
      </w:r>
    </w:p>
    <w:p>
      <w:pPr>
        <w:pStyle w:val="ListNumber"/>
        <w:spacing w:after="60"/>
        <w:jc w:val="both"/>
      </w:pPr>
      <w:r>
        <w:rPr>
          <w:rFonts w:ascii="Calibri" w:hAnsi="Calibri"/>
          <w:b/>
          <w:i w:val="0"/>
          <w:color w:val="1B2A32"/>
          <w:sz w:val="21"/>
        </w:rPr>
        <w:t>Reverse the proportionality on non-varying heads.</w:t>
      </w:r>
      <w:r>
        <w:rPr>
          <w:rFonts w:ascii="Calibri" w:hAnsi="Calibri"/>
          <w:b w:val="0"/>
          <w:i w:val="0"/>
          <w:color w:val="1B2A32"/>
          <w:sz w:val="21"/>
        </w:rPr>
        <w:t xml:space="preserve"> Usually the largest single item, and often conceded once itemised.</w:t>
      </w:r>
    </w:p>
    <w:p>
      <w:pPr>
        <w:pStyle w:val="ListNumber"/>
        <w:spacing w:after="60"/>
        <w:jc w:val="both"/>
      </w:pPr>
      <w:r>
        <w:rPr>
          <w:rFonts w:ascii="Calibri" w:hAnsi="Calibri"/>
          <w:b/>
          <w:i w:val="0"/>
          <w:color w:val="1B2A32"/>
          <w:sz w:val="21"/>
        </w:rPr>
        <w:t>Split the consumables.</w:t>
      </w:r>
      <w:r>
        <w:rPr>
          <w:rFonts w:ascii="Calibri" w:hAnsi="Calibri"/>
          <w:b w:val="0"/>
          <w:i w:val="0"/>
          <w:color w:val="1B2A32"/>
          <w:sz w:val="21"/>
        </w:rPr>
        <w:t xml:space="preserve"> Partial allowance is the standard landing point.</w:t>
      </w:r>
    </w:p>
    <w:p>
      <w:pPr>
        <w:pStyle w:val="ListNumber"/>
        <w:spacing w:after="60"/>
        <w:jc w:val="both"/>
      </w:pPr>
      <w:r>
        <w:rPr>
          <w:rFonts w:ascii="Calibri" w:hAnsi="Calibri"/>
          <w:b/>
          <w:i w:val="0"/>
          <w:color w:val="1B2A32"/>
          <w:sz w:val="21"/>
        </w:rPr>
        <w:t>Reinstate with continuity.</w:t>
      </w:r>
      <w:r>
        <w:rPr>
          <w:rFonts w:ascii="Calibri" w:hAnsi="Calibri"/>
          <w:b w:val="0"/>
          <w:i w:val="0"/>
          <w:color w:val="1B2A32"/>
          <w:sz w:val="21"/>
        </w:rPr>
        <w:t xml:space="preserve"> Frequently worth more to the policyholder than the last ₹40,000 of the claim.</w:t>
      </w:r>
    </w:p>
    <w:p>
      <w:pPr>
        <w:pStyle w:val="ListNumber"/>
        <w:spacing w:after="60"/>
        <w:jc w:val="both"/>
      </w:pPr>
      <w:r>
        <w:rPr>
          <w:rFonts w:ascii="Calibri" w:hAnsi="Calibri"/>
          <w:b/>
          <w:i w:val="0"/>
          <w:color w:val="1B2A32"/>
          <w:sz w:val="21"/>
        </w:rPr>
        <w:t>Fix the record.</w:t>
      </w:r>
      <w:r>
        <w:rPr>
          <w:rFonts w:ascii="Calibri" w:hAnsi="Calibri"/>
          <w:b w:val="0"/>
          <w:i w:val="0"/>
          <w:color w:val="1B2A32"/>
          <w:sz w:val="21"/>
        </w:rPr>
        <w:t xml:space="preserve"> Where a PED entry has been made, its withdrawal in writing matters for every future renewal.</w:t>
      </w:r>
    </w:p>
    <w:p>
      <w:pPr>
        <w:pStyle w:val="ListNumber"/>
        <w:spacing w:after="60"/>
        <w:jc w:val="both"/>
      </w:pPr>
      <w:r>
        <w:rPr>
          <w:rFonts w:ascii="Calibri" w:hAnsi="Calibri"/>
          <w:b/>
          <w:i w:val="0"/>
          <w:color w:val="1B2A32"/>
          <w:sz w:val="21"/>
        </w:rPr>
        <w:t>Convert a cashless denial into an agreed reimbursement</w:t>
      </w:r>
      <w:r>
        <w:rPr>
          <w:rFonts w:ascii="Calibri" w:hAnsi="Calibri"/>
          <w:b w:val="0"/>
          <w:i w:val="0"/>
          <w:color w:val="1B2A32"/>
          <w:sz w:val="21"/>
        </w:rPr>
        <w:t xml:space="preserve"> with a payment date.</w:t>
      </w:r>
    </w:p>
    <w:p>
      <w:pPr>
        <w:keepNext/>
        <w:spacing w:before="200" w:after="60"/>
      </w:pPr>
      <w:r>
        <w:rPr>
          <w:rFonts w:ascii="Calibri" w:hAnsi="Calibri"/>
          <w:b/>
          <w:i w:val="0"/>
          <w:color w:val="1E7A8C"/>
          <w:sz w:val="25"/>
        </w:rPr>
        <w:t>1.5  1.5  Traps</w:t>
      </w:r>
    </w:p>
    <w:p>
      <w:pPr>
        <w:pStyle w:val="ListBullet"/>
        <w:spacing w:after="60"/>
        <w:jc w:val="both"/>
      </w:pPr>
      <w:r>
        <w:rPr>
          <w:rFonts w:ascii="Calibri" w:hAnsi="Calibri"/>
          <w:b w:val="0"/>
          <w:i w:val="0"/>
          <w:color w:val="1B2A32"/>
          <w:sz w:val="21"/>
        </w:rPr>
        <w:t>Arguing the total rather than the line items. Health settles by narrowing.</w:t>
      </w:r>
    </w:p>
    <w:p>
      <w:pPr>
        <w:pStyle w:val="ListBullet"/>
        <w:spacing w:after="60"/>
        <w:jc w:val="both"/>
      </w:pPr>
      <w:r>
        <w:rPr>
          <w:rFonts w:ascii="Calibri" w:hAnsi="Calibri"/>
          <w:b w:val="0"/>
          <w:i w:val="0"/>
          <w:color w:val="1B2A32"/>
          <w:sz w:val="21"/>
        </w:rPr>
        <w:t>Accepting the insurer's inception date without asking for the first-ever policy.</w:t>
      </w:r>
    </w:p>
    <w:p>
      <w:pPr>
        <w:pStyle w:val="ListBullet"/>
        <w:spacing w:after="60"/>
        <w:jc w:val="both"/>
      </w:pPr>
      <w:r>
        <w:rPr>
          <w:rFonts w:ascii="Calibri" w:hAnsi="Calibri"/>
          <w:b w:val="0"/>
          <w:i w:val="0"/>
          <w:color w:val="1B2A32"/>
          <w:sz w:val="21"/>
        </w:rPr>
        <w:t>Letting a family sign a discharge voucher at the hospital counter while the patient is still admitted.</w:t>
      </w:r>
    </w:p>
    <w:p>
      <w:pPr>
        <w:pStyle w:val="ListBullet"/>
        <w:spacing w:after="60"/>
        <w:jc w:val="both"/>
      </w:pPr>
      <w:r>
        <w:rPr>
          <w:rFonts w:ascii="Calibri" w:hAnsi="Calibri"/>
          <w:b w:val="0"/>
          <w:i w:val="0"/>
          <w:color w:val="1B2A32"/>
          <w:sz w:val="21"/>
        </w:rPr>
        <w:t>Treating a doctor's certificate as decisive without checking whether the insurer has a contrary specialist opinion.</w:t>
      </w:r>
    </w:p>
    <w:p>
      <w:pPr>
        <w:keepNext/>
        <w:spacing w:before="280" w:after="120"/>
        <w:pBdr>
          <w:bottom w:val="single" w:sz="12" w:space="3" w:color="C6A15B"/>
        </w:pBdr>
      </w:pPr>
      <w:r>
        <w:rPr>
          <w:rFonts w:ascii="Calibri" w:hAnsi="Calibri"/>
          <w:b/>
          <w:i w:val="0"/>
          <w:color w:val="123B4F"/>
          <w:sz w:val="32"/>
        </w:rPr>
        <w:t>2.  Playbook 2 — Motor insurance</w:t>
      </w:r>
    </w:p>
    <w:p>
      <w:pPr>
        <w:keepNext/>
        <w:spacing w:before="200" w:after="60"/>
      </w:pPr>
      <w:r>
        <w:rPr>
          <w:rFonts w:ascii="Calibri" w:hAnsi="Calibri"/>
          <w:b/>
          <w:i w:val="0"/>
          <w:color w:val="1E7A8C"/>
          <w:sz w:val="25"/>
        </w:rPr>
        <w:t>2.1  2.1  What the dispute usually is</w:t>
      </w:r>
    </w:p>
    <w:p>
      <w:pPr>
        <w:spacing w:after="120"/>
        <w:jc w:val="both"/>
      </w:pPr>
      <w:r>
        <w:rPr>
          <w:rFonts w:ascii="Calibri" w:hAnsi="Calibri"/>
          <w:b w:val="0"/>
          <w:i w:val="0"/>
          <w:color w:val="1B2A32"/>
          <w:sz w:val="21"/>
        </w:rPr>
        <w:t xml:space="preserve">Two clusters. </w:t>
      </w:r>
      <w:r>
        <w:rPr>
          <w:rFonts w:ascii="Calibri" w:hAnsi="Calibri"/>
          <w:b/>
          <w:i w:val="0"/>
          <w:color w:val="1B2A32"/>
          <w:sz w:val="21"/>
        </w:rPr>
        <w:t>Quantum</w:t>
      </w:r>
      <w:r>
        <w:rPr>
          <w:rFonts w:ascii="Calibri" w:hAnsi="Calibri"/>
          <w:b w:val="0"/>
          <w:i w:val="0"/>
          <w:color w:val="1B2A32"/>
          <w:sz w:val="21"/>
        </w:rPr>
        <w:t xml:space="preserve">: IDV, depreciation, salvage, whether the vehicle is a total loss. </w:t>
      </w:r>
      <w:r>
        <w:rPr>
          <w:rFonts w:ascii="Calibri" w:hAnsi="Calibri"/>
          <w:b/>
          <w:i w:val="0"/>
          <w:color w:val="1B2A32"/>
          <w:sz w:val="21"/>
        </w:rPr>
        <w:t>Repudiation on a policy-condition breach</w:t>
      </w:r>
      <w:r>
        <w:rPr>
          <w:rFonts w:ascii="Calibri" w:hAnsi="Calibri"/>
          <w:b w:val="0"/>
          <w:i w:val="0"/>
          <w:color w:val="1B2A32"/>
          <w:sz w:val="21"/>
        </w:rPr>
        <w:t>: an expired or wrong-class licence, a permit or fitness lapse, delay in intimation, or use contrary to limitations as to use.</w:t>
      </w:r>
    </w:p>
    <w:p>
      <w:pPr>
        <w:keepNext/>
        <w:spacing w:before="200" w:after="60"/>
      </w:pPr>
      <w:r>
        <w:rPr>
          <w:rFonts w:ascii="Calibri" w:hAnsi="Calibri"/>
          <w:b/>
          <w:i w:val="0"/>
          <w:color w:val="1E7A8C"/>
          <w:sz w:val="25"/>
        </w:rPr>
        <w:t>2.2  2.2  The documents that decide it</w:t>
      </w:r>
    </w:p>
    <w:p>
      <w:pPr>
        <w:pStyle w:val="ListBullet"/>
        <w:spacing w:after="60"/>
        <w:jc w:val="both"/>
      </w:pPr>
      <w:r>
        <w:rPr>
          <w:rFonts w:ascii="Calibri" w:hAnsi="Calibri"/>
          <w:b w:val="0"/>
          <w:i w:val="0"/>
          <w:color w:val="1B2A32"/>
          <w:sz w:val="21"/>
        </w:rPr>
        <w:t xml:space="preserve">Policy schedule — IDV, excess, and </w:t>
      </w:r>
      <w:r>
        <w:rPr>
          <w:rFonts w:ascii="Calibri" w:hAnsi="Calibri"/>
          <w:b/>
          <w:i w:val="0"/>
          <w:color w:val="1B2A32"/>
          <w:sz w:val="21"/>
        </w:rPr>
        <w:t>which add-ons were actually purchased</w:t>
      </w:r>
      <w:r>
        <w:rPr>
          <w:rFonts w:ascii="Calibri" w:hAnsi="Calibri"/>
          <w:b w:val="0"/>
          <w:i w:val="0"/>
          <w:color w:val="1B2A32"/>
          <w:sz w:val="21"/>
        </w:rPr>
        <w:t xml:space="preserve"> (zero-depreciation, engine protection, return-to-invoice).</w:t>
      </w:r>
    </w:p>
    <w:p>
      <w:pPr>
        <w:pStyle w:val="ListBullet"/>
        <w:spacing w:after="60"/>
        <w:jc w:val="both"/>
      </w:pPr>
      <w:r>
        <w:rPr>
          <w:rFonts w:ascii="Calibri" w:hAnsi="Calibri"/>
          <w:b w:val="0"/>
          <w:i w:val="0"/>
          <w:color w:val="1B2A32"/>
          <w:sz w:val="21"/>
        </w:rPr>
        <w:t>Surveyor's report and the assessment sheet.</w:t>
      </w:r>
    </w:p>
    <w:p>
      <w:pPr>
        <w:pStyle w:val="ListBullet"/>
        <w:spacing w:after="60"/>
        <w:jc w:val="both"/>
      </w:pPr>
      <w:r>
        <w:rPr>
          <w:rFonts w:ascii="Calibri" w:hAnsi="Calibri"/>
          <w:b w:val="0"/>
          <w:i w:val="0"/>
          <w:color w:val="1B2A32"/>
          <w:sz w:val="21"/>
        </w:rPr>
        <w:t>Repair estimate and final invoice.</w:t>
      </w:r>
    </w:p>
    <w:p>
      <w:pPr>
        <w:pStyle w:val="ListBullet"/>
        <w:spacing w:after="60"/>
        <w:jc w:val="both"/>
      </w:pPr>
      <w:r>
        <w:rPr>
          <w:rFonts w:ascii="Calibri" w:hAnsi="Calibri"/>
          <w:b w:val="0"/>
          <w:i w:val="0"/>
          <w:color w:val="1B2A32"/>
          <w:sz w:val="21"/>
        </w:rPr>
        <w:t>FIR and police documents where there is theft or third-party involvement.</w:t>
      </w:r>
    </w:p>
    <w:p>
      <w:pPr>
        <w:pStyle w:val="ListBullet"/>
        <w:spacing w:after="60"/>
        <w:jc w:val="both"/>
      </w:pPr>
      <w:r>
        <w:rPr>
          <w:rFonts w:ascii="Calibri" w:hAnsi="Calibri"/>
          <w:b w:val="0"/>
          <w:i w:val="0"/>
          <w:color w:val="1B2A32"/>
          <w:sz w:val="21"/>
        </w:rPr>
        <w:t>Driving licence, registration certificate, permit, fitness and PUC.</w:t>
      </w:r>
    </w:p>
    <w:p>
      <w:pPr>
        <w:pStyle w:val="ListBullet"/>
        <w:spacing w:after="60"/>
        <w:jc w:val="both"/>
      </w:pPr>
      <w:r>
        <w:rPr>
          <w:rFonts w:ascii="Calibri" w:hAnsi="Calibri"/>
          <w:b w:val="0"/>
          <w:i w:val="0"/>
          <w:color w:val="1B2A32"/>
          <w:sz w:val="21"/>
        </w:rPr>
        <w:t>Photographs of the loss and, in a total loss, the salvage valuation or bids.</w:t>
      </w:r>
    </w:p>
    <w:p>
      <w:pPr>
        <w:keepNext/>
        <w:spacing w:before="200" w:after="60"/>
      </w:pPr>
      <w:r>
        <w:rPr>
          <w:rFonts w:ascii="Calibri" w:hAnsi="Calibri"/>
          <w:b/>
          <w:i w:val="0"/>
          <w:color w:val="1E7A8C"/>
          <w:sz w:val="25"/>
        </w:rPr>
        <w:t>2.3  2.3  The questions that move it</w:t>
      </w:r>
    </w:p>
    <w:p>
      <w:pPr>
        <w:pStyle w:val="ListBullet"/>
        <w:spacing w:after="60"/>
        <w:jc w:val="both"/>
      </w:pPr>
      <w:r>
        <w:rPr>
          <w:rFonts w:ascii="Calibri" w:hAnsi="Calibri"/>
          <w:b w:val="0"/>
          <w:i w:val="0"/>
          <w:color w:val="1B2A32"/>
          <w:sz w:val="21"/>
        </w:rPr>
        <w:t>Repair cost as a percentage of IDV — is this really a total loss, and on whose threshold?</w:t>
      </w:r>
    </w:p>
    <w:p>
      <w:pPr>
        <w:pStyle w:val="ListBullet"/>
        <w:spacing w:after="60"/>
        <w:jc w:val="both"/>
      </w:pPr>
      <w:r>
        <w:rPr>
          <w:rFonts w:ascii="Calibri" w:hAnsi="Calibri"/>
          <w:b w:val="0"/>
          <w:i w:val="0"/>
          <w:color w:val="1B2A32"/>
          <w:sz w:val="21"/>
        </w:rPr>
        <w:t xml:space="preserve">Was a </w:t>
      </w:r>
      <w:r>
        <w:rPr>
          <w:rFonts w:ascii="Calibri" w:hAnsi="Calibri"/>
          <w:b/>
          <w:i w:val="0"/>
          <w:color w:val="1B2A32"/>
          <w:sz w:val="21"/>
        </w:rPr>
        <w:t>zero-depreciation add-on</w:t>
      </w:r>
      <w:r>
        <w:rPr>
          <w:rFonts w:ascii="Calibri" w:hAnsi="Calibri"/>
          <w:b w:val="0"/>
          <w:i w:val="0"/>
          <w:color w:val="1B2A32"/>
          <w:sz w:val="21"/>
        </w:rPr>
        <w:t xml:space="preserve"> sold? If it was described as included and is not, this is a mis-selling matter as well as a quantum one.</w:t>
      </w:r>
    </w:p>
    <w:p>
      <w:pPr>
        <w:pStyle w:val="ListBullet"/>
        <w:spacing w:after="60"/>
        <w:jc w:val="both"/>
      </w:pPr>
      <w:r>
        <w:rPr>
          <w:rFonts w:ascii="Calibri" w:hAnsi="Calibri"/>
          <w:b w:val="0"/>
          <w:i w:val="0"/>
          <w:color w:val="1B2A32"/>
          <w:sz w:val="21"/>
        </w:rPr>
        <w:t>Who has the salvage, and on whose valuation? A competing quotation is the standard tool.</w:t>
      </w:r>
    </w:p>
    <w:p>
      <w:pPr>
        <w:pStyle w:val="ListBullet"/>
        <w:spacing w:after="60"/>
        <w:jc w:val="both"/>
      </w:pPr>
      <w:r>
        <w:rPr>
          <w:rFonts w:ascii="Calibri" w:hAnsi="Calibri"/>
          <w:b/>
          <w:i w:val="0"/>
          <w:color w:val="1B2A32"/>
          <w:sz w:val="21"/>
        </w:rPr>
        <w:t>What nexus is there between the alleged breach and this loss?</w:t>
      </w:r>
      <w:r>
        <w:rPr>
          <w:rFonts w:ascii="Calibri" w:hAnsi="Calibri"/>
          <w:b w:val="0"/>
          <w:i w:val="0"/>
          <w:color w:val="1B2A32"/>
          <w:sz w:val="21"/>
        </w:rPr>
        <w:t xml:space="preserve"> If none, the non-standard route opens.</w:t>
      </w:r>
    </w:p>
    <w:p>
      <w:pPr>
        <w:pStyle w:val="ListBullet"/>
        <w:spacing w:after="60"/>
        <w:jc w:val="both"/>
      </w:pPr>
      <w:r>
        <w:rPr>
          <w:rFonts w:ascii="Calibri" w:hAnsi="Calibri"/>
          <w:b w:val="0"/>
          <w:i w:val="0"/>
          <w:color w:val="1B2A32"/>
          <w:sz w:val="21"/>
        </w:rPr>
        <w:t>Was the surveyor's report shared with the insured before the decision?</w:t>
      </w:r>
    </w:p>
    <w:p>
      <w:pPr>
        <w:keepNext/>
        <w:spacing w:before="200" w:after="60"/>
      </w:pPr>
      <w:r>
        <w:rPr>
          <w:rFonts w:ascii="Calibri" w:hAnsi="Calibri"/>
          <w:b/>
          <w:i w:val="0"/>
          <w:color w:val="1E7A8C"/>
          <w:sz w:val="25"/>
        </w:rPr>
        <w:t>2.4  2.4  Settlement shapes that work</w:t>
      </w:r>
    </w:p>
    <w:p>
      <w:pPr>
        <w:pStyle w:val="ListNumber"/>
        <w:spacing w:after="60"/>
        <w:jc w:val="both"/>
      </w:pPr>
      <w:r>
        <w:rPr>
          <w:rFonts w:ascii="Calibri" w:hAnsi="Calibri"/>
          <w:b/>
          <w:i w:val="0"/>
          <w:color w:val="1B2A32"/>
          <w:sz w:val="21"/>
        </w:rPr>
        <w:t>The non-standard settlement</w:t>
      </w:r>
      <w:r>
        <w:rPr>
          <w:rFonts w:ascii="Calibri" w:hAnsi="Calibri"/>
          <w:b w:val="0"/>
          <w:i w:val="0"/>
          <w:color w:val="1B2A32"/>
          <w:sz w:val="21"/>
        </w:rPr>
        <w:t xml:space="preserve"> — a percentage of the assessed loss where a technical breach is alleged. Established market practice, and the natural mediated outcome. </w:t>
      </w:r>
      <w:r>
        <w:rPr>
          <w:rFonts w:ascii="Calibri" w:hAnsi="Calibri"/>
          <w:b/>
          <w:i w:val="0"/>
          <w:color w:val="1B2A32"/>
          <w:sz w:val="21"/>
        </w:rPr>
        <w:t>[verify — the customary percentage]</w:t>
      </w:r>
    </w:p>
    <w:p>
      <w:pPr>
        <w:pStyle w:val="ListNumber"/>
        <w:spacing w:after="60"/>
        <w:jc w:val="both"/>
      </w:pPr>
      <w:r>
        <w:rPr>
          <w:rFonts w:ascii="Calibri" w:hAnsi="Calibri"/>
          <w:b/>
          <w:i w:val="0"/>
          <w:color w:val="1B2A32"/>
          <w:sz w:val="21"/>
        </w:rPr>
        <w:t>Agree the salvage figure</w:t>
      </w:r>
      <w:r>
        <w:rPr>
          <w:rFonts w:ascii="Calibri" w:hAnsi="Calibri"/>
          <w:b w:val="0"/>
          <w:i w:val="0"/>
          <w:color w:val="1B2A32"/>
          <w:sz w:val="21"/>
        </w:rPr>
        <w:t>, not the principle. The gap between two valuations is usually smaller than the gap between two positions.</w:t>
      </w:r>
    </w:p>
    <w:p>
      <w:pPr>
        <w:pStyle w:val="ListNumber"/>
        <w:spacing w:after="60"/>
        <w:jc w:val="both"/>
      </w:pPr>
      <w:r>
        <w:rPr>
          <w:rFonts w:ascii="Calibri" w:hAnsi="Calibri"/>
          <w:b/>
          <w:i w:val="0"/>
          <w:color w:val="1B2A32"/>
          <w:sz w:val="21"/>
        </w:rPr>
        <w:t>Total loss on IDV with salvage retained by the insurer</w:t>
      </w:r>
      <w:r>
        <w:rPr>
          <w:rFonts w:ascii="Calibri" w:hAnsi="Calibri"/>
          <w:b w:val="0"/>
          <w:i w:val="0"/>
          <w:color w:val="1B2A32"/>
          <w:sz w:val="21"/>
        </w:rPr>
        <w:t>, which removes the valuation argument entirely.</w:t>
      </w:r>
    </w:p>
    <w:p>
      <w:pPr>
        <w:pStyle w:val="ListNumber"/>
        <w:spacing w:after="60"/>
        <w:jc w:val="both"/>
      </w:pPr>
      <w:r>
        <w:rPr>
          <w:rFonts w:ascii="Calibri" w:hAnsi="Calibri"/>
          <w:b/>
          <w:i w:val="0"/>
          <w:color w:val="1B2A32"/>
          <w:sz w:val="21"/>
        </w:rPr>
        <w:t>Honour the add-on</w:t>
      </w:r>
      <w:r>
        <w:rPr>
          <w:rFonts w:ascii="Calibri" w:hAnsi="Calibri"/>
          <w:b w:val="0"/>
          <w:i w:val="0"/>
          <w:color w:val="1B2A32"/>
          <w:sz w:val="21"/>
        </w:rPr>
        <w:t xml:space="preserve"> where it was sold but not applied — cheaper for the insurer than a mis-selling complaint.</w:t>
      </w:r>
    </w:p>
    <w:p>
      <w:pPr>
        <w:keepNext/>
        <w:spacing w:before="200" w:after="60"/>
      </w:pPr>
      <w:r>
        <w:rPr>
          <w:rFonts w:ascii="Calibri" w:hAnsi="Calibri"/>
          <w:b/>
          <w:i w:val="0"/>
          <w:color w:val="1E7A8C"/>
          <w:sz w:val="25"/>
        </w:rPr>
        <w:t>2.5  2.5  Traps</w:t>
      </w:r>
    </w:p>
    <w:p>
      <w:pPr>
        <w:pStyle w:val="ListBullet"/>
        <w:spacing w:after="60"/>
        <w:jc w:val="both"/>
      </w:pPr>
      <w:r>
        <w:rPr>
          <w:rFonts w:ascii="Calibri" w:hAnsi="Calibri"/>
          <w:b w:val="0"/>
          <w:i w:val="0"/>
          <w:color w:val="1B2A32"/>
          <w:sz w:val="21"/>
        </w:rPr>
        <w:t xml:space="preserve">Third-party injury and death claims are for the </w:t>
      </w:r>
      <w:r>
        <w:rPr>
          <w:rFonts w:ascii="Calibri" w:hAnsi="Calibri"/>
          <w:b/>
          <w:i w:val="0"/>
          <w:color w:val="1B2A32"/>
          <w:sz w:val="21"/>
        </w:rPr>
        <w:t>Motor Accidents Claims Tribunal</w:t>
      </w:r>
      <w:r>
        <w:rPr>
          <w:rFonts w:ascii="Calibri" w:hAnsi="Calibri"/>
          <w:b w:val="0"/>
          <w:i w:val="0"/>
          <w:color w:val="1B2A32"/>
          <w:sz w:val="21"/>
        </w:rPr>
        <w:t>. Neither the Ombudsman nor a consumer commission decides them. Signpost and stop.</w:t>
      </w:r>
    </w:p>
    <w:p>
      <w:pPr>
        <w:pStyle w:val="ListBullet"/>
        <w:spacing w:after="60"/>
        <w:jc w:val="both"/>
      </w:pPr>
      <w:r>
        <w:rPr>
          <w:rFonts w:ascii="Calibri" w:hAnsi="Calibri"/>
          <w:b w:val="0"/>
          <w:i w:val="0"/>
          <w:color w:val="1B2A32"/>
          <w:sz w:val="21"/>
        </w:rPr>
        <w:t>A financier's NOC and the handover of RC, keys and the subrogation letter are conditions that hold up payment long after settlement. Put them in the escrow milestone schedule.</w:t>
      </w:r>
    </w:p>
    <w:p>
      <w:pPr>
        <w:keepNext/>
        <w:spacing w:before="280" w:after="120"/>
        <w:pBdr>
          <w:bottom w:val="single" w:sz="12" w:space="3" w:color="C6A15B"/>
        </w:pBdr>
      </w:pPr>
      <w:r>
        <w:rPr>
          <w:rFonts w:ascii="Calibri" w:hAnsi="Calibri"/>
          <w:b/>
          <w:i w:val="0"/>
          <w:color w:val="123B4F"/>
          <w:sz w:val="32"/>
        </w:rPr>
        <w:t>3.  Playbook 3 — Life insurance</w:t>
      </w:r>
    </w:p>
    <w:p>
      <w:pPr>
        <w:keepNext/>
        <w:spacing w:before="200" w:after="60"/>
      </w:pPr>
      <w:r>
        <w:rPr>
          <w:rFonts w:ascii="Calibri" w:hAnsi="Calibri"/>
          <w:b/>
          <w:i w:val="0"/>
          <w:color w:val="1E7A8C"/>
          <w:sz w:val="25"/>
        </w:rPr>
        <w:t>3.1  3.1  What the dispute usually is</w:t>
      </w:r>
    </w:p>
    <w:p>
      <w:pPr>
        <w:spacing w:after="120"/>
        <w:jc w:val="both"/>
      </w:pPr>
      <w:r>
        <w:rPr>
          <w:rFonts w:ascii="Calibri" w:hAnsi="Calibri"/>
          <w:b w:val="0"/>
          <w:i w:val="0"/>
          <w:color w:val="1B2A32"/>
          <w:sz w:val="21"/>
        </w:rPr>
        <w:t>Death claims — especially early claims — repudiated for non-disclosure; delay dressed up as investigation; nomination and heirship disputes; and surrender, paid-up and bonus computations.</w:t>
      </w:r>
    </w:p>
    <w:p>
      <w:pPr>
        <w:keepNext/>
        <w:spacing w:before="200" w:after="60"/>
      </w:pPr>
      <w:r>
        <w:rPr>
          <w:rFonts w:ascii="Calibri" w:hAnsi="Calibri"/>
          <w:b/>
          <w:i w:val="0"/>
          <w:color w:val="1E7A8C"/>
          <w:sz w:val="25"/>
        </w:rPr>
        <w:t>3.2  3.2  The date arithmetic, first</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DO THIS BEFORE ANYTHING ELSE</w:t>
            </w:r>
          </w:p>
          <w:p>
            <w:r>
              <w:rPr>
                <w:rFonts w:ascii="Calibri" w:hAnsi="Calibri"/>
                <w:b w:val="0"/>
                <w:i w:val="0"/>
                <w:color w:val="1B2A32"/>
                <w:sz w:val="19"/>
              </w:rPr>
              <w:t xml:space="preserve">Establish the </w:t>
            </w:r>
            <w:r>
              <w:rPr>
                <w:rFonts w:ascii="Calibri" w:hAnsi="Calibri"/>
                <w:b/>
                <w:i w:val="0"/>
                <w:color w:val="1B2A32"/>
                <w:sz w:val="19"/>
              </w:rPr>
              <w:t>later</w:t>
            </w:r>
            <w:r>
              <w:rPr>
                <w:rFonts w:ascii="Calibri" w:hAnsi="Calibri"/>
                <w:b w:val="0"/>
                <w:i w:val="0"/>
                <w:color w:val="1B2A32"/>
                <w:sz w:val="19"/>
              </w:rPr>
              <w:t xml:space="preserve"> of: the date of issue of the policy, the date of commencement of risk, the date of the last revival, and the date of any rider. Section 45 of the Insurance Act, 1938 runs from that date. A significant proportion of life repudiation disputes are decided on this arithmetic and nothing else. Note that a </w:t>
            </w:r>
            <w:r>
              <w:rPr>
                <w:rFonts w:ascii="Calibri" w:hAnsi="Calibri"/>
                <w:b/>
                <w:i w:val="0"/>
                <w:color w:val="1B2A32"/>
                <w:sz w:val="19"/>
              </w:rPr>
              <w:t>revival resets the clock</w:t>
            </w:r>
            <w:r>
              <w:rPr>
                <w:rFonts w:ascii="Calibri" w:hAnsi="Calibri"/>
                <w:b w:val="0"/>
                <w:i w:val="0"/>
                <w:color w:val="1B2A32"/>
                <w:sz w:val="19"/>
              </w:rPr>
              <w:t xml:space="preserve"> — an old policy revived recently may be inside the window. </w:t>
            </w:r>
            <w:r>
              <w:rPr>
                <w:rFonts w:ascii="Calibri" w:hAnsi="Calibri"/>
                <w:b/>
                <w:i w:val="0"/>
                <w:color w:val="1B2A32"/>
                <w:sz w:val="19"/>
              </w:rPr>
              <w:t>[verify — the current text of s.45 and the applicable period]</w:t>
            </w:r>
          </w:p>
        </w:tc>
      </w:tr>
    </w:tbl>
    <w:p>
      <w:pPr>
        <w:spacing w:after="40"/>
      </w:pPr>
    </w:p>
    <w:p>
      <w:pPr>
        <w:keepNext/>
        <w:spacing w:before="200" w:after="60"/>
      </w:pPr>
      <w:r>
        <w:rPr>
          <w:rFonts w:ascii="Calibri" w:hAnsi="Calibri"/>
          <w:b/>
          <w:i w:val="0"/>
          <w:color w:val="1E7A8C"/>
          <w:sz w:val="25"/>
        </w:rPr>
        <w:t>3.3  3.3  The questions that move it</w:t>
      </w:r>
    </w:p>
    <w:p>
      <w:pPr>
        <w:pStyle w:val="ListBullet"/>
        <w:spacing w:after="60"/>
        <w:jc w:val="both"/>
      </w:pPr>
      <w:r>
        <w:rPr>
          <w:rFonts w:ascii="Calibri" w:hAnsi="Calibri"/>
          <w:b w:val="0"/>
          <w:i w:val="0"/>
          <w:color w:val="1B2A32"/>
          <w:sz w:val="21"/>
        </w:rPr>
        <w:t xml:space="preserve">Was the ground </w:t>
      </w:r>
      <w:r>
        <w:rPr>
          <w:rFonts w:ascii="Calibri" w:hAnsi="Calibri"/>
          <w:b/>
          <w:i w:val="0"/>
          <w:color w:val="1B2A32"/>
          <w:sz w:val="21"/>
        </w:rPr>
        <w:t>communicated in writing with the materials relied on</w:t>
      </w:r>
      <w:r>
        <w:rPr>
          <w:rFonts w:ascii="Calibri" w:hAnsi="Calibri"/>
          <w:b w:val="0"/>
          <w:i w:val="0"/>
          <w:color w:val="1B2A32"/>
          <w:sz w:val="21"/>
        </w:rPr>
        <w:t>, as the section requires?</w:t>
      </w:r>
    </w:p>
    <w:p>
      <w:pPr>
        <w:pStyle w:val="ListBullet"/>
        <w:spacing w:after="60"/>
        <w:jc w:val="both"/>
      </w:pPr>
      <w:r>
        <w:rPr>
          <w:rFonts w:ascii="Calibri" w:hAnsi="Calibri"/>
          <w:b w:val="0"/>
          <w:i w:val="0"/>
          <w:color w:val="1B2A32"/>
          <w:sz w:val="21"/>
        </w:rPr>
        <w:t xml:space="preserve">Was the fact </w:t>
      </w:r>
      <w:r>
        <w:rPr>
          <w:rFonts w:ascii="Calibri" w:hAnsi="Calibri"/>
          <w:b/>
          <w:i w:val="0"/>
          <w:color w:val="1B2A32"/>
          <w:sz w:val="21"/>
        </w:rPr>
        <w:t>material to the risk</w:t>
      </w:r>
      <w:r>
        <w:rPr>
          <w:rFonts w:ascii="Calibri" w:hAnsi="Calibri"/>
          <w:b w:val="0"/>
          <w:i w:val="0"/>
          <w:color w:val="1B2A32"/>
          <w:sz w:val="21"/>
        </w:rPr>
        <w:t xml:space="preserve"> — would underwriting have been different?</w:t>
      </w:r>
    </w:p>
    <w:p>
      <w:pPr>
        <w:pStyle w:val="ListBullet"/>
        <w:spacing w:after="60"/>
        <w:jc w:val="both"/>
      </w:pPr>
      <w:r>
        <w:rPr>
          <w:rFonts w:ascii="Calibri" w:hAnsi="Calibri"/>
          <w:b/>
          <w:i w:val="0"/>
          <w:color w:val="1B2A32"/>
          <w:sz w:val="21"/>
        </w:rPr>
        <w:t>Who filled the proposal form?</w:t>
      </w:r>
      <w:r>
        <w:rPr>
          <w:rFonts w:ascii="Calibri" w:hAnsi="Calibri"/>
          <w:b w:val="0"/>
          <w:i w:val="0"/>
          <w:color w:val="1B2A32"/>
          <w:sz w:val="21"/>
        </w:rPr>
        <w:t xml:space="preserve"> Where the agent completed it, the insurer's position weakens considerably.</w:t>
      </w:r>
    </w:p>
    <w:p>
      <w:pPr>
        <w:pStyle w:val="ListBullet"/>
        <w:spacing w:after="60"/>
        <w:jc w:val="both"/>
      </w:pPr>
      <w:r>
        <w:rPr>
          <w:rFonts w:ascii="Calibri" w:hAnsi="Calibri"/>
          <w:b w:val="0"/>
          <w:i w:val="0"/>
          <w:color w:val="1B2A32"/>
          <w:sz w:val="21"/>
        </w:rPr>
        <w:t xml:space="preserve">Was a </w:t>
      </w:r>
      <w:r>
        <w:rPr>
          <w:rFonts w:ascii="Calibri" w:hAnsi="Calibri"/>
          <w:b/>
          <w:i w:val="0"/>
          <w:color w:val="1B2A32"/>
          <w:sz w:val="21"/>
        </w:rPr>
        <w:t>medical examination</w:t>
      </w:r>
      <w:r>
        <w:rPr>
          <w:rFonts w:ascii="Calibri" w:hAnsi="Calibri"/>
          <w:b w:val="0"/>
          <w:i w:val="0"/>
          <w:color w:val="1B2A32"/>
          <w:sz w:val="21"/>
        </w:rPr>
        <w:t xml:space="preserve"> conducted, and what did it disclose?</w:t>
      </w:r>
    </w:p>
    <w:p>
      <w:pPr>
        <w:pStyle w:val="ListBullet"/>
        <w:spacing w:after="60"/>
        <w:jc w:val="both"/>
      </w:pPr>
      <w:r>
        <w:rPr>
          <w:rFonts w:ascii="Calibri" w:hAnsi="Calibri"/>
          <w:b w:val="0"/>
          <w:i w:val="0"/>
          <w:color w:val="1B2A32"/>
          <w:sz w:val="21"/>
        </w:rPr>
        <w:t>Was the fact already known to the insurer from its own records — a prior policy, a prior claim?</w:t>
      </w:r>
    </w:p>
    <w:p>
      <w:pPr>
        <w:pStyle w:val="ListBullet"/>
        <w:spacing w:after="60"/>
        <w:jc w:val="both"/>
      </w:pPr>
      <w:r>
        <w:rPr>
          <w:rFonts w:ascii="Calibri" w:hAnsi="Calibri"/>
          <w:b w:val="0"/>
          <w:i w:val="0"/>
          <w:color w:val="1B2A32"/>
          <w:sz w:val="21"/>
        </w:rPr>
        <w:t>In an investigation that has run for months: what remains outstanding, and by what date will it conclude?</w:t>
      </w:r>
    </w:p>
    <w:p>
      <w:pPr>
        <w:keepNext/>
        <w:spacing w:before="200" w:after="60"/>
      </w:pPr>
      <w:r>
        <w:rPr>
          <w:rFonts w:ascii="Calibri" w:hAnsi="Calibri"/>
          <w:b/>
          <w:i w:val="0"/>
          <w:color w:val="1E7A8C"/>
          <w:sz w:val="25"/>
        </w:rPr>
        <w:t>3.4  3.4  Settlement shapes that work</w:t>
      </w:r>
    </w:p>
    <w:p>
      <w:pPr>
        <w:pStyle w:val="ListNumber"/>
        <w:spacing w:after="60"/>
        <w:jc w:val="both"/>
      </w:pPr>
      <w:r>
        <w:rPr>
          <w:rFonts w:ascii="Calibri" w:hAnsi="Calibri"/>
          <w:b/>
          <w:i w:val="0"/>
          <w:color w:val="1B2A32"/>
          <w:sz w:val="21"/>
        </w:rPr>
        <w:t>Payment with a written correction</w:t>
      </w:r>
      <w:r>
        <w:rPr>
          <w:rFonts w:ascii="Calibri" w:hAnsi="Calibri"/>
          <w:b w:val="0"/>
          <w:i w:val="0"/>
          <w:color w:val="1B2A32"/>
          <w:sz w:val="21"/>
        </w:rPr>
        <w:t xml:space="preserve"> of the earlier ground — important where a fraud indicator was recorded.</w:t>
      </w:r>
    </w:p>
    <w:p>
      <w:pPr>
        <w:pStyle w:val="ListNumber"/>
        <w:spacing w:after="60"/>
        <w:jc w:val="both"/>
      </w:pPr>
      <w:r>
        <w:rPr>
          <w:rFonts w:ascii="Calibri" w:hAnsi="Calibri"/>
          <w:b/>
          <w:i w:val="0"/>
          <w:color w:val="1B2A32"/>
          <w:sz w:val="21"/>
        </w:rPr>
        <w:t>Ex gratia or negotiated percentage</w:t>
      </w:r>
      <w:r>
        <w:rPr>
          <w:rFonts w:ascii="Calibri" w:hAnsi="Calibri"/>
          <w:b w:val="0"/>
          <w:i w:val="0"/>
          <w:color w:val="1B2A32"/>
          <w:sz w:val="21"/>
        </w:rPr>
        <w:t xml:space="preserve"> where the non-disclosure is real but its materiality is genuinely arguable.</w:t>
      </w:r>
    </w:p>
    <w:p>
      <w:pPr>
        <w:pStyle w:val="ListNumber"/>
        <w:spacing w:after="60"/>
        <w:jc w:val="both"/>
      </w:pPr>
      <w:r>
        <w:rPr>
          <w:rFonts w:ascii="Calibri" w:hAnsi="Calibri"/>
          <w:b/>
          <w:i w:val="0"/>
          <w:color w:val="1B2A32"/>
          <w:sz w:val="21"/>
        </w:rPr>
        <w:t>Interpleader-style resolution of a nomination dispute</w:t>
      </w:r>
      <w:r>
        <w:rPr>
          <w:rFonts w:ascii="Calibri" w:hAnsi="Calibri"/>
          <w:b w:val="0"/>
          <w:i w:val="0"/>
          <w:color w:val="1B2A32"/>
          <w:sz w:val="21"/>
        </w:rPr>
        <w:t xml:space="preserve"> — the insurer pays into escrow and the family mediates the split. This is one of the most useful things Equator can do in this vertical, and the Ombudsman cannot do it at all.</w:t>
      </w:r>
    </w:p>
    <w:p>
      <w:pPr>
        <w:pStyle w:val="ListNumber"/>
        <w:spacing w:after="60"/>
        <w:jc w:val="both"/>
      </w:pPr>
      <w:r>
        <w:rPr>
          <w:rFonts w:ascii="Calibri" w:hAnsi="Calibri"/>
          <w:b/>
          <w:i w:val="0"/>
          <w:color w:val="1B2A32"/>
          <w:sz w:val="21"/>
        </w:rPr>
        <w:t>A date certain</w:t>
      </w:r>
      <w:r>
        <w:rPr>
          <w:rFonts w:ascii="Calibri" w:hAnsi="Calibri"/>
          <w:b w:val="0"/>
          <w:i w:val="0"/>
          <w:color w:val="1B2A32"/>
          <w:sz w:val="21"/>
        </w:rPr>
        <w:t xml:space="preserve"> for a claim stuck in investigation.</w:t>
      </w:r>
    </w:p>
    <w:p>
      <w:pPr>
        <w:keepNext/>
        <w:spacing w:before="280" w:after="120"/>
        <w:pBdr>
          <w:bottom w:val="single" w:sz="12" w:space="3" w:color="C6A15B"/>
        </w:pBdr>
      </w:pPr>
      <w:r>
        <w:rPr>
          <w:rFonts w:ascii="Calibri" w:hAnsi="Calibri"/>
          <w:b/>
          <w:i w:val="0"/>
          <w:color w:val="123B4F"/>
          <w:sz w:val="32"/>
        </w:rPr>
        <w:t>4.  Playbook 4 — Commercial lines</w:t>
      </w:r>
    </w:p>
    <w:p>
      <w:pPr>
        <w:keepNext/>
        <w:spacing w:before="200" w:after="60"/>
      </w:pPr>
      <w:r>
        <w:rPr>
          <w:rFonts w:ascii="Calibri" w:hAnsi="Calibri"/>
          <w:b/>
          <w:i w:val="0"/>
          <w:color w:val="1E7A8C"/>
          <w:sz w:val="25"/>
        </w:rPr>
        <w:t>4.1  4.1  What the dispute usually is</w:t>
      </w:r>
    </w:p>
    <w:p>
      <w:pPr>
        <w:spacing w:after="120"/>
        <w:jc w:val="both"/>
      </w:pPr>
      <w:r>
        <w:rPr>
          <w:rFonts w:ascii="Calibri" w:hAnsi="Calibri"/>
          <w:b w:val="0"/>
          <w:i w:val="0"/>
          <w:color w:val="1B2A32"/>
          <w:sz w:val="21"/>
        </w:rPr>
        <w:t>Quantum, not coverage, in most cases: the assessed figure, the value at risk, the depreciation, the indemnity period, the rate of gross profit. Coverage disputes arise around warranties, conditions precedent and proximate cause.</w:t>
      </w:r>
    </w:p>
    <w:p>
      <w:pPr>
        <w:keepNext/>
        <w:spacing w:before="200" w:after="60"/>
      </w:pPr>
      <w:r>
        <w:rPr>
          <w:rFonts w:ascii="Calibri" w:hAnsi="Calibri"/>
          <w:b/>
          <w:i w:val="0"/>
          <w:color w:val="1E7A8C"/>
          <w:sz w:val="25"/>
        </w:rPr>
        <w:t>4.2  4.2  The five negotiable elements</w:t>
      </w:r>
    </w:p>
    <w:tbl>
      <w:tblPr>
        <w:tblStyle w:val="TableGrid"/>
        <w:tblW w:type="auto" w:w="0"/>
        <w:jc w:val="center"/>
        <w:tblLook w:firstColumn="1" w:firstRow="1" w:lastColumn="0" w:lastRow="0" w:noHBand="0" w:noVBand="1" w:val="04A0"/>
      </w:tblPr>
      <w:tblGrid>
        <w:gridCol w:w="3168"/>
        <w:gridCol w:w="3168"/>
        <w:gridCol w:w="3168"/>
      </w:tblGrid>
      <w:tr>
        <w:tc>
          <w:tcPr>
            <w:tcW w:type="dxa" w:w="34560"/>
            <w:shd w:val="clear" w:fill="123B4F"/>
          </w:tcPr>
          <w:p>
            <w:r/>
            <w:r>
              <w:rPr>
                <w:rFonts w:ascii="Calibri" w:hAnsi="Calibri"/>
                <w:b/>
                <w:i w:val="0"/>
                <w:color w:val="FFFFFF"/>
                <w:sz w:val="18"/>
              </w:rPr>
              <w:t>Element</w:t>
            </w:r>
          </w:p>
        </w:tc>
        <w:tc>
          <w:tcPr>
            <w:tcW w:type="dxa" w:w="48960"/>
            <w:shd w:val="clear" w:fill="123B4F"/>
          </w:tcPr>
          <w:p>
            <w:r/>
            <w:r>
              <w:rPr>
                <w:rFonts w:ascii="Calibri" w:hAnsi="Calibri"/>
                <w:b/>
                <w:i w:val="0"/>
                <w:color w:val="FFFFFF"/>
                <w:sz w:val="18"/>
              </w:rPr>
              <w:t>Why it is negotiable</w:t>
            </w:r>
          </w:p>
        </w:tc>
        <w:tc>
          <w:tcPr>
            <w:tcW w:type="dxa" w:w="60480"/>
            <w:shd w:val="clear" w:fill="123B4F"/>
          </w:tcPr>
          <w:p>
            <w:r/>
            <w:r>
              <w:rPr>
                <w:rFonts w:ascii="Calibri" w:hAnsi="Calibri"/>
                <w:b/>
                <w:i w:val="0"/>
                <w:color w:val="FFFFFF"/>
                <w:sz w:val="18"/>
              </w:rPr>
              <w:t>The device that resolves it</w:t>
            </w:r>
          </w:p>
        </w:tc>
      </w:tr>
      <w:tr>
        <w:tc>
          <w:tcPr>
            <w:tcW w:type="dxa" w:w="34560"/>
          </w:tcPr>
          <w:p>
            <w:r/>
            <w:r>
              <w:rPr>
                <w:rFonts w:ascii="Calibri" w:hAnsi="Calibri"/>
                <w:b w:val="0"/>
                <w:i w:val="0"/>
                <w:color w:val="1B2A32"/>
                <w:sz w:val="18"/>
              </w:rPr>
              <w:t>Value at risk</w:t>
            </w:r>
          </w:p>
        </w:tc>
        <w:tc>
          <w:tcPr>
            <w:tcW w:type="dxa" w:w="48960"/>
          </w:tcPr>
          <w:p>
            <w:r/>
            <w:r>
              <w:rPr>
                <w:rFonts w:ascii="Calibri" w:hAnsi="Calibri"/>
                <w:b w:val="0"/>
                <w:i w:val="0"/>
                <w:color w:val="1B2A32"/>
                <w:sz w:val="18"/>
              </w:rPr>
              <w:t>Depends on the basis and the date of valuation</w:t>
            </w:r>
          </w:p>
        </w:tc>
        <w:tc>
          <w:tcPr>
            <w:tcW w:type="dxa" w:w="60480"/>
          </w:tcPr>
          <w:p>
            <w:r/>
            <w:r>
              <w:rPr>
                <w:rFonts w:ascii="Calibri" w:hAnsi="Calibri"/>
                <w:b w:val="0"/>
                <w:i w:val="0"/>
                <w:color w:val="1B2A32"/>
                <w:sz w:val="18"/>
              </w:rPr>
              <w:t>An agreed valuation, often with the broker contributing</w:t>
            </w:r>
          </w:p>
        </w:tc>
      </w:tr>
      <w:tr>
        <w:tc>
          <w:tcPr>
            <w:tcW w:type="dxa" w:w="34560"/>
            <w:shd w:val="clear" w:fill="F3F7F9"/>
          </w:tcPr>
          <w:p>
            <w:r/>
            <w:r>
              <w:rPr>
                <w:rFonts w:ascii="Calibri" w:hAnsi="Calibri"/>
                <w:b w:val="0"/>
                <w:i w:val="0"/>
                <w:color w:val="1B2A32"/>
                <w:sz w:val="18"/>
              </w:rPr>
              <w:t>Depreciation / betterment</w:t>
            </w:r>
          </w:p>
        </w:tc>
        <w:tc>
          <w:tcPr>
            <w:tcW w:type="dxa" w:w="48960"/>
            <w:shd w:val="clear" w:fill="F3F7F9"/>
          </w:tcPr>
          <w:p>
            <w:r/>
            <w:r>
              <w:rPr>
                <w:rFonts w:ascii="Calibri" w:hAnsi="Calibri"/>
                <w:b w:val="0"/>
                <w:i w:val="0"/>
                <w:color w:val="1B2A32"/>
                <w:sz w:val="18"/>
              </w:rPr>
              <w:t>A matter of judgement on the surveyor's part</w:t>
            </w:r>
          </w:p>
        </w:tc>
        <w:tc>
          <w:tcPr>
            <w:tcW w:type="dxa" w:w="60480"/>
            <w:shd w:val="clear" w:fill="F3F7F9"/>
          </w:tcPr>
          <w:p>
            <w:r/>
            <w:r>
              <w:rPr>
                <w:rFonts w:ascii="Calibri" w:hAnsi="Calibri"/>
                <w:b w:val="0"/>
                <w:i w:val="0"/>
                <w:color w:val="1B2A32"/>
                <w:sz w:val="18"/>
              </w:rPr>
              <w:t>A second assessment or a split</w:t>
            </w:r>
          </w:p>
        </w:tc>
      </w:tr>
      <w:tr>
        <w:tc>
          <w:tcPr>
            <w:tcW w:type="dxa" w:w="34560"/>
          </w:tcPr>
          <w:p>
            <w:r/>
            <w:r>
              <w:rPr>
                <w:rFonts w:ascii="Calibri" w:hAnsi="Calibri"/>
                <w:b w:val="0"/>
                <w:i w:val="0"/>
                <w:color w:val="1B2A32"/>
                <w:sz w:val="18"/>
              </w:rPr>
              <w:t>Business interruption computation</w:t>
            </w:r>
          </w:p>
        </w:tc>
        <w:tc>
          <w:tcPr>
            <w:tcW w:type="dxa" w:w="48960"/>
          </w:tcPr>
          <w:p>
            <w:r/>
            <w:r>
              <w:rPr>
                <w:rFonts w:ascii="Calibri" w:hAnsi="Calibri"/>
                <w:b w:val="0"/>
                <w:i w:val="0"/>
                <w:color w:val="1B2A32"/>
                <w:sz w:val="18"/>
              </w:rPr>
              <w:t>Almost pure accounting</w:t>
            </w:r>
          </w:p>
        </w:tc>
        <w:tc>
          <w:tcPr>
            <w:tcW w:type="dxa" w:w="60480"/>
          </w:tcPr>
          <w:p>
            <w:r/>
            <w:r>
              <w:rPr>
                <w:rFonts w:ascii="Calibri" w:hAnsi="Calibri"/>
                <w:b w:val="0"/>
                <w:i w:val="0"/>
                <w:color w:val="1B2A32"/>
                <w:sz w:val="18"/>
              </w:rPr>
              <w:t>A jointly instructed forensic accountant</w:t>
            </w:r>
          </w:p>
        </w:tc>
      </w:tr>
      <w:tr>
        <w:tc>
          <w:tcPr>
            <w:tcW w:type="dxa" w:w="34560"/>
            <w:shd w:val="clear" w:fill="F3F7F9"/>
          </w:tcPr>
          <w:p>
            <w:r/>
            <w:r>
              <w:rPr>
                <w:rFonts w:ascii="Calibri" w:hAnsi="Calibri"/>
                <w:b w:val="0"/>
                <w:i w:val="0"/>
                <w:color w:val="1B2A32"/>
                <w:sz w:val="18"/>
              </w:rPr>
              <w:t>Severity of a warranty breach</w:t>
            </w:r>
          </w:p>
        </w:tc>
        <w:tc>
          <w:tcPr>
            <w:tcW w:type="dxa" w:w="48960"/>
            <w:shd w:val="clear" w:fill="F3F7F9"/>
          </w:tcPr>
          <w:p>
            <w:r/>
            <w:r>
              <w:rPr>
                <w:rFonts w:ascii="Calibri" w:hAnsi="Calibri"/>
                <w:b w:val="0"/>
                <w:i w:val="0"/>
                <w:color w:val="1B2A32"/>
                <w:sz w:val="18"/>
              </w:rPr>
              <w:t>Rarely all-or-nothing in practice</w:t>
            </w:r>
          </w:p>
        </w:tc>
        <w:tc>
          <w:tcPr>
            <w:tcW w:type="dxa" w:w="60480"/>
            <w:shd w:val="clear" w:fill="F3F7F9"/>
          </w:tcPr>
          <w:p>
            <w:r/>
            <w:r>
              <w:rPr>
                <w:rFonts w:ascii="Calibri" w:hAnsi="Calibri"/>
                <w:b w:val="0"/>
                <w:i w:val="0"/>
                <w:color w:val="1B2A32"/>
                <w:sz w:val="18"/>
              </w:rPr>
              <w:t>A partial settlement</w:t>
            </w:r>
          </w:p>
        </w:tc>
      </w:tr>
      <w:tr>
        <w:tc>
          <w:tcPr>
            <w:tcW w:type="dxa" w:w="34560"/>
          </w:tcPr>
          <w:p>
            <w:r/>
            <w:r>
              <w:rPr>
                <w:rFonts w:ascii="Calibri" w:hAnsi="Calibri"/>
                <w:b w:val="0"/>
                <w:i w:val="0"/>
                <w:color w:val="1B2A32"/>
                <w:sz w:val="18"/>
              </w:rPr>
              <w:t>Subrogation and recovery sharing</w:t>
            </w:r>
          </w:p>
        </w:tc>
        <w:tc>
          <w:tcPr>
            <w:tcW w:type="dxa" w:w="48960"/>
          </w:tcPr>
          <w:p>
            <w:r/>
            <w:r>
              <w:rPr>
                <w:rFonts w:ascii="Calibri" w:hAnsi="Calibri"/>
                <w:b w:val="0"/>
                <w:i w:val="0"/>
                <w:color w:val="1B2A32"/>
                <w:sz w:val="18"/>
              </w:rPr>
              <w:t>A future asset both sides value differently</w:t>
            </w:r>
          </w:p>
        </w:tc>
        <w:tc>
          <w:tcPr>
            <w:tcW w:type="dxa" w:w="60480"/>
          </w:tcPr>
          <w:p>
            <w:r/>
            <w:r>
              <w:rPr>
                <w:rFonts w:ascii="Calibri" w:hAnsi="Calibri"/>
                <w:b w:val="0"/>
                <w:i w:val="0"/>
                <w:color w:val="1B2A32"/>
                <w:sz w:val="18"/>
              </w:rPr>
              <w:t>Sharing on an agreed formula — a useful trading chip</w:t>
            </w:r>
          </w:p>
        </w:tc>
      </w:tr>
    </w:tbl>
    <w:p>
      <w:pPr>
        <w:spacing w:after="40"/>
      </w:pPr>
    </w:p>
    <w:p>
      <w:pPr>
        <w:keepNext/>
        <w:spacing w:before="200" w:after="60"/>
      </w:pPr>
      <w:r>
        <w:rPr>
          <w:rFonts w:ascii="Calibri" w:hAnsi="Calibri"/>
          <w:b/>
          <w:i w:val="0"/>
          <w:color w:val="1E7A8C"/>
          <w:sz w:val="25"/>
        </w:rPr>
        <w:t>4.3  4.3  The alignment problem</w:t>
      </w:r>
    </w:p>
    <w:p>
      <w:pPr>
        <w:spacing w:after="120"/>
        <w:jc w:val="both"/>
      </w:pPr>
      <w:r>
        <w:rPr>
          <w:rFonts w:ascii="Calibri" w:hAnsi="Calibri"/>
          <w:b w:val="0"/>
          <w:i w:val="0"/>
          <w:color w:val="1B2A32"/>
          <w:sz w:val="21"/>
        </w:rPr>
        <w:t>A commercial settlement that the lead insurer supports but a co-insurer or reinsurer has not approved will not hold. Establish before the session: who the co-insurers are and their shares; whether a reinsurer drives the decision; and what authority the officer in the room actually has. Form F-I14 section 4 exists for this.</w:t>
      </w:r>
    </w:p>
    <w:p>
      <w:pPr>
        <w:keepNext/>
        <w:spacing w:before="200" w:after="60"/>
      </w:pPr>
      <w:r>
        <w:rPr>
          <w:rFonts w:ascii="Calibri" w:hAnsi="Calibri"/>
          <w:b/>
          <w:i w:val="0"/>
          <w:color w:val="1E7A8C"/>
          <w:sz w:val="25"/>
        </w:rPr>
        <w:t>4.4  4.4  Arbitration</w:t>
      </w:r>
    </w:p>
    <w:p>
      <w:pPr>
        <w:spacing w:after="120"/>
        <w:jc w:val="both"/>
      </w:pPr>
      <w:r>
        <w:rPr>
          <w:rFonts w:ascii="Calibri" w:hAnsi="Calibri"/>
          <w:b w:val="0"/>
          <w:i w:val="0"/>
          <w:color w:val="1B2A32"/>
          <w:sz w:val="21"/>
        </w:rPr>
        <w:t xml:space="preserve">Available only where a </w:t>
      </w:r>
      <w:r>
        <w:rPr>
          <w:rFonts w:ascii="Calibri" w:hAnsi="Calibri"/>
          <w:b/>
          <w:i w:val="0"/>
          <w:color w:val="1B2A32"/>
          <w:sz w:val="21"/>
        </w:rPr>
        <w:t>separate arbitration agreement</w:t>
      </w:r>
      <w:r>
        <w:rPr>
          <w:rFonts w:ascii="Calibri" w:hAnsi="Calibri"/>
          <w:b w:val="0"/>
          <w:i w:val="0"/>
          <w:color w:val="1B2A32"/>
          <w:sz w:val="21"/>
        </w:rPr>
        <w:t>, mutually entered into and covering any and all disputes, exists. Where it does, weigh the section 29A timetable and the cost against a mediated settlement. In a pure quantum dispute, mediation is almost always the better instrument.</w:t>
      </w:r>
    </w:p>
    <w:p>
      <w:pPr>
        <w:keepNext/>
        <w:spacing w:before="280" w:after="120"/>
        <w:pBdr>
          <w:bottom w:val="single" w:sz="12" w:space="3" w:color="C6A15B"/>
        </w:pBdr>
      </w:pPr>
      <w:r>
        <w:rPr>
          <w:rFonts w:ascii="Calibri" w:hAnsi="Calibri"/>
          <w:b/>
          <w:i w:val="0"/>
          <w:color w:val="123B4F"/>
          <w:sz w:val="32"/>
        </w:rPr>
        <w:t>5.  Playbook 5 — Mis-selling</w:t>
      </w:r>
    </w:p>
    <w:p>
      <w:pPr>
        <w:keepNext/>
        <w:spacing w:before="200" w:after="60"/>
      </w:pPr>
      <w:r>
        <w:rPr>
          <w:rFonts w:ascii="Calibri" w:hAnsi="Calibri"/>
          <w:b/>
          <w:i w:val="0"/>
          <w:color w:val="1E7A8C"/>
          <w:sz w:val="25"/>
        </w:rPr>
        <w:t>5.1  5.1  The fact patterns</w:t>
      </w:r>
    </w:p>
    <w:p>
      <w:pPr>
        <w:pStyle w:val="ListBullet"/>
        <w:spacing w:after="60"/>
        <w:jc w:val="both"/>
      </w:pPr>
      <w:r>
        <w:rPr>
          <w:rFonts w:ascii="Calibri" w:hAnsi="Calibri"/>
          <w:b w:val="0"/>
          <w:i w:val="0"/>
          <w:color w:val="1B2A32"/>
          <w:sz w:val="21"/>
        </w:rPr>
        <w:t>A single-premium product sold as a fixed deposit or savings scheme.</w:t>
      </w:r>
    </w:p>
    <w:p>
      <w:pPr>
        <w:pStyle w:val="ListBullet"/>
        <w:spacing w:after="60"/>
        <w:jc w:val="both"/>
      </w:pPr>
      <w:r>
        <w:rPr>
          <w:rFonts w:ascii="Calibri" w:hAnsi="Calibri"/>
          <w:b w:val="0"/>
          <w:i w:val="0"/>
          <w:color w:val="1B2A32"/>
          <w:sz w:val="21"/>
        </w:rPr>
        <w:t>A guaranteed return represented that the product does not carry.</w:t>
      </w:r>
    </w:p>
    <w:p>
      <w:pPr>
        <w:pStyle w:val="ListBullet"/>
        <w:spacing w:after="60"/>
        <w:jc w:val="both"/>
      </w:pPr>
      <w:r>
        <w:rPr>
          <w:rFonts w:ascii="Calibri" w:hAnsi="Calibri"/>
          <w:b w:val="0"/>
          <w:i w:val="0"/>
          <w:color w:val="1B2A32"/>
          <w:sz w:val="21"/>
        </w:rPr>
        <w:t>Insurance sold as a condition of a loan, a locker or an account.</w:t>
      </w:r>
    </w:p>
    <w:p>
      <w:pPr>
        <w:pStyle w:val="ListBullet"/>
        <w:spacing w:after="60"/>
        <w:jc w:val="both"/>
      </w:pPr>
      <w:r>
        <w:rPr>
          <w:rFonts w:ascii="Calibri" w:hAnsi="Calibri"/>
          <w:b w:val="0"/>
          <w:i w:val="0"/>
          <w:color w:val="1B2A32"/>
          <w:sz w:val="21"/>
        </w:rPr>
        <w:t>A lapsed policy “revived” by selling a new one.</w:t>
      </w:r>
    </w:p>
    <w:p>
      <w:pPr>
        <w:pStyle w:val="ListBullet"/>
        <w:spacing w:after="60"/>
        <w:jc w:val="both"/>
      </w:pPr>
      <w:r>
        <w:rPr>
          <w:rFonts w:ascii="Calibri" w:hAnsi="Calibri"/>
          <w:b w:val="0"/>
          <w:i w:val="0"/>
          <w:color w:val="1B2A32"/>
          <w:sz w:val="21"/>
        </w:rPr>
        <w:t>Medical disclosures omitted by the seller, surfacing years later as a repudiation.</w:t>
      </w:r>
    </w:p>
    <w:p>
      <w:pPr>
        <w:pStyle w:val="ListBullet"/>
        <w:spacing w:after="60"/>
        <w:jc w:val="both"/>
      </w:pPr>
      <w:r>
        <w:rPr>
          <w:rFonts w:ascii="Calibri" w:hAnsi="Calibri"/>
          <w:b w:val="0"/>
          <w:i w:val="0"/>
          <w:color w:val="1B2A32"/>
          <w:sz w:val="21"/>
        </w:rPr>
        <w:t>A proposal form signed blank and completed by the seller.</w:t>
      </w:r>
    </w:p>
    <w:p>
      <w:pPr>
        <w:keepNext/>
        <w:spacing w:before="200" w:after="60"/>
      </w:pPr>
      <w:r>
        <w:rPr>
          <w:rFonts w:ascii="Calibri" w:hAnsi="Calibri"/>
          <w:b/>
          <w:i w:val="0"/>
          <w:color w:val="1E7A8C"/>
          <w:sz w:val="25"/>
        </w:rPr>
        <w:t>5.2  5.2  Why the 2021 amendment matters</w:t>
      </w:r>
    </w:p>
    <w:p>
      <w:pPr>
        <w:spacing w:after="120"/>
        <w:jc w:val="both"/>
      </w:pPr>
      <w:r>
        <w:rPr>
          <w:rFonts w:ascii="Calibri" w:hAnsi="Calibri"/>
          <w:b w:val="0"/>
          <w:i w:val="0"/>
          <w:color w:val="1B2A32"/>
          <w:sz w:val="21"/>
        </w:rPr>
        <w:t xml:space="preserve">The amendment to the Insurance Ombudsman Rules widened the scheme from “disputes” to </w:t>
      </w:r>
      <w:r>
        <w:rPr>
          <w:rFonts w:ascii="Calibri" w:hAnsi="Calibri"/>
          <w:b/>
          <w:i w:val="0"/>
          <w:color w:val="1B2A32"/>
          <w:sz w:val="21"/>
        </w:rPr>
        <w:t>deficiency in service</w:t>
      </w:r>
      <w:r>
        <w:rPr>
          <w:rFonts w:ascii="Calibri" w:hAnsi="Calibri"/>
          <w:b w:val="0"/>
          <w:i w:val="0"/>
          <w:color w:val="1B2A32"/>
          <w:sz w:val="21"/>
        </w:rPr>
        <w:t xml:space="preserve">, and brought </w:t>
      </w:r>
      <w:r>
        <w:rPr>
          <w:rFonts w:ascii="Calibri" w:hAnsi="Calibri"/>
          <w:b/>
          <w:i w:val="0"/>
          <w:color w:val="1B2A32"/>
          <w:sz w:val="21"/>
        </w:rPr>
        <w:t>agents, brokers and other intermediaries</w:t>
      </w:r>
      <w:r>
        <w:rPr>
          <w:rFonts w:ascii="Calibri" w:hAnsi="Calibri"/>
          <w:b w:val="0"/>
          <w:i w:val="0"/>
          <w:color w:val="1B2A32"/>
          <w:sz w:val="21"/>
        </w:rPr>
        <w:t xml:space="preserve"> within its ambit. Complaints about the conduct of the sale — not merely the insurer's decision on a claim — are therefore squarely entertainable. That is what makes mis-selling a viable dispute class rather than a grievance.</w:t>
      </w:r>
    </w:p>
    <w:p>
      <w:pPr>
        <w:keepNext/>
        <w:spacing w:before="200" w:after="60"/>
      </w:pPr>
      <w:r>
        <w:rPr>
          <w:rFonts w:ascii="Calibri" w:hAnsi="Calibri"/>
          <w:b/>
          <w:i w:val="0"/>
          <w:color w:val="1E7A8C"/>
          <w:sz w:val="25"/>
        </w:rPr>
        <w:t>5.3  5.3  The evidence that decides it</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benefit illustration</w:t>
      </w:r>
      <w:r>
        <w:rPr>
          <w:rFonts w:ascii="Calibri" w:hAnsi="Calibri"/>
          <w:b w:val="0"/>
          <w:i w:val="0"/>
          <w:color w:val="1B2A32"/>
          <w:sz w:val="21"/>
        </w:rPr>
        <w:t xml:space="preserve"> — signed or unsigned, and what it actually shows.</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proposal form</w:t>
      </w:r>
      <w:r>
        <w:rPr>
          <w:rFonts w:ascii="Calibri" w:hAnsi="Calibri"/>
          <w:b w:val="0"/>
          <w:i w:val="0"/>
          <w:color w:val="1B2A32"/>
          <w:sz w:val="21"/>
        </w:rPr>
        <w:t xml:space="preserve"> — who completed it, and whether it was signed blank.</w:t>
      </w:r>
    </w:p>
    <w:p>
      <w:pPr>
        <w:pStyle w:val="ListBullet"/>
        <w:spacing w:after="60"/>
        <w:jc w:val="both"/>
      </w:pPr>
      <w:r>
        <w:rPr>
          <w:rFonts w:ascii="Calibri" w:hAnsi="Calibri"/>
          <w:b/>
          <w:i w:val="0"/>
          <w:color w:val="1B2A32"/>
          <w:sz w:val="21"/>
        </w:rPr>
        <w:t>Call recordings</w:t>
      </w:r>
      <w:r>
        <w:rPr>
          <w:rFonts w:ascii="Calibri" w:hAnsi="Calibri"/>
          <w:b w:val="0"/>
          <w:i w:val="0"/>
          <w:color w:val="1B2A32"/>
          <w:sz w:val="21"/>
        </w:rPr>
        <w:t xml:space="preserve"> where the sale was by telephone. Ask for them early; retention periods are finite.</w:t>
      </w:r>
    </w:p>
    <w:p>
      <w:pPr>
        <w:pStyle w:val="ListBullet"/>
        <w:spacing w:after="60"/>
        <w:jc w:val="both"/>
      </w:pPr>
      <w:r>
        <w:rPr>
          <w:rFonts w:ascii="Calibri" w:hAnsi="Calibri"/>
          <w:b w:val="0"/>
          <w:i w:val="0"/>
          <w:color w:val="1B2A32"/>
          <w:sz w:val="21"/>
        </w:rPr>
        <w:t xml:space="preserve">The </w:t>
      </w:r>
      <w:r>
        <w:rPr>
          <w:rFonts w:ascii="Calibri" w:hAnsi="Calibri"/>
          <w:b/>
          <w:i w:val="0"/>
          <w:color w:val="1B2A32"/>
          <w:sz w:val="21"/>
        </w:rPr>
        <w:t>bank statement</w:t>
      </w:r>
      <w:r>
        <w:rPr>
          <w:rFonts w:ascii="Calibri" w:hAnsi="Calibri"/>
          <w:b w:val="0"/>
          <w:i w:val="0"/>
          <w:color w:val="1B2A32"/>
          <w:sz w:val="21"/>
        </w:rPr>
        <w:t xml:space="preserve"> — how the debit was described.</w:t>
      </w:r>
    </w:p>
    <w:p>
      <w:pPr>
        <w:pStyle w:val="ListBullet"/>
        <w:spacing w:after="60"/>
        <w:jc w:val="both"/>
      </w:pPr>
      <w:r>
        <w:rPr>
          <w:rFonts w:ascii="Calibri" w:hAnsi="Calibri"/>
          <w:b w:val="0"/>
          <w:i w:val="0"/>
          <w:color w:val="1B2A32"/>
          <w:sz w:val="21"/>
        </w:rPr>
        <w:t>Marketing material and messages from the seller.</w:t>
      </w:r>
    </w:p>
    <w:p>
      <w:pPr>
        <w:keepNext/>
        <w:spacing w:before="200" w:after="60"/>
      </w:pPr>
      <w:r>
        <w:rPr>
          <w:rFonts w:ascii="Calibri" w:hAnsi="Calibri"/>
          <w:b/>
          <w:i w:val="0"/>
          <w:color w:val="1E7A8C"/>
          <w:sz w:val="25"/>
        </w:rPr>
        <w:t>5.4  5.4  Settlement shapes that work — beyond a refund</w:t>
      </w:r>
    </w:p>
    <w:p>
      <w:pPr>
        <w:pStyle w:val="ListNumber"/>
        <w:spacing w:after="60"/>
        <w:jc w:val="both"/>
      </w:pPr>
      <w:r>
        <w:rPr>
          <w:rFonts w:ascii="Calibri" w:hAnsi="Calibri"/>
          <w:b/>
          <w:i w:val="0"/>
          <w:color w:val="1B2A32"/>
          <w:sz w:val="21"/>
        </w:rPr>
        <w:t>Conversion to a single-premium or paid-up policy</w:t>
      </w:r>
      <w:r>
        <w:rPr>
          <w:rFonts w:ascii="Calibri" w:hAnsi="Calibri"/>
          <w:b w:val="0"/>
          <w:i w:val="0"/>
          <w:color w:val="1B2A32"/>
          <w:sz w:val="21"/>
        </w:rPr>
        <w:t xml:space="preserve"> with no further premiums payable.</w:t>
      </w:r>
    </w:p>
    <w:p>
      <w:pPr>
        <w:pStyle w:val="ListNumber"/>
        <w:spacing w:after="60"/>
        <w:jc w:val="both"/>
      </w:pPr>
      <w:r>
        <w:rPr>
          <w:rFonts w:ascii="Calibri" w:hAnsi="Calibri"/>
          <w:b/>
          <w:i w:val="0"/>
          <w:color w:val="1B2A32"/>
          <w:sz w:val="21"/>
        </w:rPr>
        <w:t>Waiver of future premiums</w:t>
      </w:r>
      <w:r>
        <w:rPr>
          <w:rFonts w:ascii="Calibri" w:hAnsi="Calibri"/>
          <w:b w:val="0"/>
          <w:i w:val="0"/>
          <w:color w:val="1B2A32"/>
          <w:sz w:val="21"/>
        </w:rPr>
        <w:t xml:space="preserve"> with the cover continuing.</w:t>
      </w:r>
    </w:p>
    <w:p>
      <w:pPr>
        <w:pStyle w:val="ListNumber"/>
        <w:spacing w:after="60"/>
        <w:jc w:val="both"/>
      </w:pPr>
      <w:r>
        <w:rPr>
          <w:rFonts w:ascii="Calibri" w:hAnsi="Calibri"/>
          <w:b/>
          <w:i w:val="0"/>
          <w:color w:val="1B2A32"/>
          <w:sz w:val="21"/>
        </w:rPr>
        <w:t>Partial refund with the cover continuing</w:t>
      </w:r>
      <w:r>
        <w:rPr>
          <w:rFonts w:ascii="Calibri" w:hAnsi="Calibri"/>
          <w:b w:val="0"/>
          <w:i w:val="0"/>
          <w:color w:val="1B2A32"/>
          <w:sz w:val="21"/>
        </w:rPr>
        <w:t xml:space="preserve"> — often the outcome both sides can live with.</w:t>
      </w:r>
    </w:p>
    <w:p>
      <w:pPr>
        <w:pStyle w:val="ListNumber"/>
        <w:spacing w:after="60"/>
        <w:jc w:val="both"/>
      </w:pPr>
      <w:r>
        <w:rPr>
          <w:rFonts w:ascii="Calibri" w:hAnsi="Calibri"/>
          <w:b/>
          <w:i w:val="0"/>
          <w:color w:val="1B2A32"/>
          <w:sz w:val="21"/>
        </w:rPr>
        <w:t>Substitution</w:t>
      </w:r>
      <w:r>
        <w:rPr>
          <w:rFonts w:ascii="Calibri" w:hAnsi="Calibri"/>
          <w:b w:val="0"/>
          <w:i w:val="0"/>
          <w:color w:val="1B2A32"/>
          <w:sz w:val="21"/>
        </w:rPr>
        <w:t xml:space="preserve"> with a product that suits the customer's actual need.</w:t>
      </w:r>
    </w:p>
    <w:p>
      <w:pPr>
        <w:pStyle w:val="ListNumber"/>
        <w:spacing w:after="60"/>
        <w:jc w:val="both"/>
      </w:pPr>
      <w:r>
        <w:rPr>
          <w:rFonts w:ascii="Calibri" w:hAnsi="Calibri"/>
          <w:b/>
          <w:i w:val="0"/>
          <w:color w:val="1B2A32"/>
          <w:sz w:val="21"/>
        </w:rPr>
        <w:t>Cancellation of a cross-sold product</w:t>
      </w:r>
      <w:r>
        <w:rPr>
          <w:rFonts w:ascii="Calibri" w:hAnsi="Calibri"/>
          <w:b w:val="0"/>
          <w:i w:val="0"/>
          <w:color w:val="1B2A32"/>
          <w:sz w:val="21"/>
        </w:rPr>
        <w:t xml:space="preserve"> linked to a loan or locker.</w:t>
      </w:r>
    </w:p>
    <w:p>
      <w:pPr>
        <w:keepNext/>
        <w:spacing w:before="200" w:after="60"/>
      </w:pPr>
      <w:r>
        <w:rPr>
          <w:rFonts w:ascii="Calibri" w:hAnsi="Calibri"/>
          <w:b/>
          <w:i w:val="0"/>
          <w:color w:val="1E7A8C"/>
          <w:sz w:val="25"/>
        </w:rPr>
        <w:t>5.5  5.5  Traps</w:t>
      </w:r>
    </w:p>
    <w:p>
      <w:pPr>
        <w:pStyle w:val="ListBullet"/>
        <w:spacing w:after="60"/>
        <w:jc w:val="both"/>
      </w:pPr>
      <w:r>
        <w:rPr>
          <w:rFonts w:ascii="Calibri" w:hAnsi="Calibri"/>
          <w:b w:val="0"/>
          <w:i w:val="0"/>
          <w:color w:val="1B2A32"/>
          <w:sz w:val="21"/>
        </w:rPr>
        <w:t>Treating the expiry of the free-look period as the end of the matter. It is not — the argument simply moves to misrepresentation.</w:t>
      </w:r>
    </w:p>
    <w:p>
      <w:pPr>
        <w:pStyle w:val="ListBullet"/>
        <w:spacing w:after="60"/>
        <w:jc w:val="both"/>
      </w:pPr>
      <w:r>
        <w:rPr>
          <w:rFonts w:ascii="Calibri" w:hAnsi="Calibri"/>
          <w:b w:val="0"/>
          <w:i w:val="0"/>
          <w:color w:val="1B2A32"/>
          <w:sz w:val="21"/>
        </w:rPr>
        <w:t>Focusing only on the money. A customer sold a ten-year commitment usually wants out of the commitment, not just a partial refund.</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A25C30E-5018-4FF8-A5BB-B55744267143}"/>
</file>

<file path=customXml/itemProps3.xml><?xml version="1.0" encoding="utf-8"?>
<ds:datastoreItem xmlns:ds="http://schemas.openxmlformats.org/officeDocument/2006/customXml" ds:itemID="{6E11735F-E089-4C45-968C-9D3D349EF3DF}"/>
</file>

<file path=customXml/itemProps4.xml><?xml version="1.0" encoding="utf-8"?>
<ds:datastoreItem xmlns:ds="http://schemas.openxmlformats.org/officeDocument/2006/customXml" ds:itemID="{3C75AC93-FA95-4C8D-976C-8443537F8E9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