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i w:val="0"/>
          <w:color w:val="123B4F"/>
          <w:sz w:val="34"/>
        </w:rPr>
        <w:t>EQUATOR RESOLUTION</w:t>
      </w:r>
    </w:p>
    <w:p>
      <w:pPr>
        <w:spacing w:after="60"/>
        <w:jc w:val="center"/>
      </w:pPr>
      <w:r>
        <w:rPr>
          <w:rFonts w:ascii="Calibri" w:hAnsi="Calibri"/>
          <w:b w:val="0"/>
          <w:i/>
          <w:color w:val="1E7A8C"/>
          <w:sz w:val="21"/>
        </w:rPr>
        <w:t>Institutional Mediation, Conciliation &amp; Settlement</w:t>
      </w:r>
    </w:p>
    <w:p>
      <w:pPr>
        <w:pBdr>
          <w:top w:val="single" w:sz="14" w:space="6" w:color="C6A15B"/>
          <w:bottom w:val="single" w:sz="14" w:space="6" w:color="C6A15B"/>
        </w:pBdr>
      </w:pPr>
    </w:p>
    <w:p>
      <w:pPr>
        <w:spacing w:before="600"/>
        <w:jc w:val="center"/>
      </w:pPr>
      <w:r>
        <w:rPr>
          <w:rFonts w:ascii="Calibri" w:hAnsi="Calibri"/>
          <w:b/>
          <w:i w:val="0"/>
          <w:color w:val="123B4F"/>
          <w:sz w:val="48"/>
        </w:rPr>
        <w:t>Insurance Products &amp; Disputes Compendium</w:t>
      </w:r>
    </w:p>
    <w:p>
      <w:pPr>
        <w:jc w:val="center"/>
      </w:pPr>
      <w:r>
        <w:rPr>
          <w:rFonts w:ascii="Calibri" w:hAnsi="Calibri"/>
          <w:b w:val="0"/>
          <w:i/>
          <w:color w:val="556168"/>
          <w:sz w:val="25"/>
        </w:rPr>
        <w:t>Every line, every dispute, every forum — the exhaustive reference</w:t>
      </w:r>
    </w:p>
    <w:p/>
    <w:p/>
    <w:p/>
    <w:p/>
    <w:p/>
    <w:p/>
    <w:p/>
    <w:p/>
    <w:p>
      <w:pPr>
        <w:jc w:val="center"/>
      </w:pPr>
      <w:r>
        <w:rPr>
          <w:rFonts w:ascii="Calibri" w:hAnsi="Calibri"/>
          <w:b/>
          <w:i w:val="0"/>
          <w:color w:val="1E7A8C"/>
          <w:sz w:val="22"/>
        </w:rPr>
        <w:t>Insurance Dispute Resolution vertical</w:t>
      </w:r>
    </w:p>
    <w:p>
      <w:pPr>
        <w:jc w:val="center"/>
      </w:pPr>
      <w:r>
        <w:rPr>
          <w:rFonts w:ascii="Calibri" w:hAnsi="Calibri"/>
          <w:b w:val="0"/>
          <w:i w:val="0"/>
          <w:color w:val="556168"/>
          <w:sz w:val="19"/>
        </w:rPr>
        <w:t>July 2026  ·  Draft for legal sign-off  ·  www.equatorresolution.com</w:t>
      </w:r>
    </w:p>
    <w:p>
      <w:r>
        <w:br w:type="page"/>
      </w:r>
    </w:p>
    <w:p>
      <w:pPr>
        <w:keepNext/>
        <w:spacing w:before="280" w:after="120"/>
        <w:pBdr>
          <w:bottom w:val="single" w:sz="12" w:space="3" w:color="C6A15B"/>
        </w:pBdr>
      </w:pPr>
      <w:r>
        <w:rPr>
          <w:rFonts w:ascii="Calibri" w:hAnsi="Calibri"/>
          <w:b/>
          <w:i w:val="0"/>
          <w:color w:val="123B4F"/>
          <w:sz w:val="32"/>
        </w:rPr>
        <w:t>How to use this Compendium</w:t>
      </w:r>
    </w:p>
    <w:p>
      <w:pPr>
        <w:spacing w:after="120"/>
        <w:jc w:val="both"/>
      </w:pPr>
      <w:r>
        <w:rPr>
          <w:rFonts w:ascii="Calibri" w:hAnsi="Calibri"/>
          <w:b w:val="0"/>
          <w:i w:val="0"/>
          <w:color w:val="1B2A32"/>
          <w:sz w:val="21"/>
        </w:rPr>
        <w:t>This Compendium is the exhaustive reference behind the Insurance Master Blueprint. Where the Blueprint explains the *system*, this document catalogues the *content*: every line of insurance written in India, every recurring dispute under it, the forum that decides it, the document that resolves it, and whether it can be mediated. It is written for the case manager preparing a file, the neutral running a session, and counsel signing the vertical off.</w:t>
      </w:r>
    </w:p>
    <w:p>
      <w:pPr>
        <w:spacing w:after="120"/>
        <w:jc w:val="both"/>
      </w:pPr>
      <w:r>
        <w:rPr>
          <w:rFonts w:ascii="Calibri" w:hAnsi="Calibri"/>
          <w:b w:val="0"/>
          <w:i w:val="0"/>
          <w:color w:val="1B2A32"/>
          <w:sz w:val="21"/>
        </w:rPr>
        <w:t xml:space="preserve">It is organised in seven parts: </w:t>
      </w:r>
      <w:r>
        <w:rPr>
          <w:rFonts w:ascii="Calibri" w:hAnsi="Calibri"/>
          <w:b/>
          <w:i w:val="0"/>
          <w:color w:val="1B2A32"/>
          <w:sz w:val="21"/>
        </w:rPr>
        <w:t>(1)</w:t>
      </w:r>
      <w:r>
        <w:rPr>
          <w:rFonts w:ascii="Calibri" w:hAnsi="Calibri"/>
          <w:b w:val="0"/>
          <w:i w:val="0"/>
          <w:color w:val="1B2A32"/>
          <w:sz w:val="21"/>
        </w:rPr>
        <w:t xml:space="preserve"> the master taxonomy; </w:t>
      </w:r>
      <w:r>
        <w:rPr>
          <w:rFonts w:ascii="Calibri" w:hAnsi="Calibri"/>
          <w:b/>
          <w:i w:val="0"/>
          <w:color w:val="1B2A32"/>
          <w:sz w:val="21"/>
        </w:rPr>
        <w:t>(2)</w:t>
      </w:r>
      <w:r>
        <w:rPr>
          <w:rFonts w:ascii="Calibri" w:hAnsi="Calibri"/>
          <w:b w:val="0"/>
          <w:i w:val="0"/>
          <w:color w:val="1B2A32"/>
          <w:sz w:val="21"/>
        </w:rPr>
        <w:t xml:space="preserve"> the master routing and mediability matrices; </w:t>
      </w:r>
      <w:r>
        <w:rPr>
          <w:rFonts w:ascii="Calibri" w:hAnsi="Calibri"/>
          <w:b/>
          <w:i w:val="0"/>
          <w:color w:val="1B2A32"/>
          <w:sz w:val="21"/>
        </w:rPr>
        <w:t>(3)</w:t>
      </w:r>
      <w:r>
        <w:rPr>
          <w:rFonts w:ascii="Calibri" w:hAnsi="Calibri"/>
          <w:b w:val="0"/>
          <w:i w:val="0"/>
          <w:color w:val="1B2A32"/>
          <w:sz w:val="21"/>
        </w:rPr>
        <w:t xml:space="preserve"> twenty product-line deep-dives; </w:t>
      </w:r>
      <w:r>
        <w:rPr>
          <w:rFonts w:ascii="Calibri" w:hAnsi="Calibri"/>
          <w:b/>
          <w:i w:val="0"/>
          <w:color w:val="1B2A32"/>
          <w:sz w:val="21"/>
        </w:rPr>
        <w:t>(4)</w:t>
      </w:r>
      <w:r>
        <w:rPr>
          <w:rFonts w:ascii="Calibri" w:hAnsi="Calibri"/>
          <w:b w:val="0"/>
          <w:i w:val="0"/>
          <w:color w:val="1B2A32"/>
          <w:sz w:val="21"/>
        </w:rPr>
        <w:t xml:space="preserve"> the cross-cutting doctrines that decide claims across every line; </w:t>
      </w:r>
      <w:r>
        <w:rPr>
          <w:rFonts w:ascii="Calibri" w:hAnsi="Calibri"/>
          <w:b/>
          <w:i w:val="0"/>
          <w:color w:val="1B2A32"/>
          <w:sz w:val="21"/>
        </w:rPr>
        <w:t>(5)</w:t>
      </w:r>
      <w:r>
        <w:rPr>
          <w:rFonts w:ascii="Calibri" w:hAnsi="Calibri"/>
          <w:b w:val="0"/>
          <w:i w:val="0"/>
          <w:color w:val="1B2A32"/>
          <w:sz w:val="21"/>
        </w:rPr>
        <w:t xml:space="preserve"> worked numerical examples; </w:t>
      </w:r>
      <w:r>
        <w:rPr>
          <w:rFonts w:ascii="Calibri" w:hAnsi="Calibri"/>
          <w:b/>
          <w:i w:val="0"/>
          <w:color w:val="1B2A32"/>
          <w:sz w:val="21"/>
        </w:rPr>
        <w:t>(6)</w:t>
      </w:r>
      <w:r>
        <w:rPr>
          <w:rFonts w:ascii="Calibri" w:hAnsi="Calibri"/>
          <w:b w:val="0"/>
          <w:i w:val="0"/>
          <w:color w:val="1B2A32"/>
          <w:sz w:val="21"/>
        </w:rPr>
        <w:t xml:space="preserve"> decision trees; and </w:t>
      </w:r>
      <w:r>
        <w:rPr>
          <w:rFonts w:ascii="Calibri" w:hAnsi="Calibri"/>
          <w:b/>
          <w:i w:val="0"/>
          <w:color w:val="1B2A32"/>
          <w:sz w:val="21"/>
        </w:rPr>
        <w:t>(7)</w:t>
      </w:r>
      <w:r>
        <w:rPr>
          <w:rFonts w:ascii="Calibri" w:hAnsi="Calibri"/>
          <w:b w:val="0"/>
          <w:i w:val="0"/>
          <w:color w:val="1B2A32"/>
          <w:sz w:val="21"/>
        </w:rPr>
        <w:t xml:space="preserve"> the table of verified authorities.</w:t>
      </w:r>
    </w:p>
    <w:tbl>
      <w:tblPr>
        <w:tblW w:type="auto" w:w="0"/>
        <w:jc w:val="center"/>
        <w:tblLook w:firstColumn="1" w:firstRow="1" w:lastColumn="0" w:lastRow="0" w:noHBand="0" w:noVBand="1" w:val="04A0"/>
      </w:tblPr>
      <w:tblGrid>
        <w:gridCol w:w="9504"/>
      </w:tblGrid>
      <w:tr>
        <w:tc>
          <w:tcPr>
            <w:tcW w:type="dxa" w:w="9360"/>
            <w:shd w:val="clear" w:fill="F6E0E4"/>
            <w:tcBorders>
              <w:start w:val="single" w:sz="22" w:space="0" w:color="B23A48"/>
            </w:tcBorders>
          </w:tcPr>
          <w:p>
            <w:r>
              <w:rPr>
                <w:rFonts w:ascii="Calibri" w:hAnsi="Calibri"/>
                <w:b/>
                <w:i w:val="0"/>
                <w:color w:val="B23A48"/>
                <w:sz w:val="18"/>
              </w:rPr>
              <w:t>SCOPE AND STANDARD OF THIS DOCUMENT</w:t>
            </w:r>
          </w:p>
          <w:p>
            <w:r>
              <w:rPr>
                <w:rFonts w:ascii="Calibri" w:hAnsi="Calibri"/>
                <w:b w:val="0"/>
                <w:i w:val="0"/>
                <w:color w:val="1B2A32"/>
                <w:sz w:val="19"/>
              </w:rPr>
              <w:t>This is not legal advice and it does not tell anyone how a claim should be decided. It describes how disputes of each kind are *structured* and where the negotiable elements usually lie. Authorities are cited by name; pinpoint citations should be confirmed by counsel against the reporter before they are relied on, and are marked [verify] where the exact citation was not confirmed at the time of writing. The law is stated as at July 2026.</w:t>
            </w:r>
          </w:p>
        </w:tc>
      </w:tr>
    </w:tbl>
    <w:p>
      <w:pPr>
        <w:spacing w:after="40"/>
      </w:pPr>
    </w:p>
    <w:tbl>
      <w:tblPr>
        <w:tblW w:type="auto" w:w="0"/>
        <w:jc w:val="center"/>
        <w:tblLook w:firstColumn="1" w:firstRow="1" w:lastColumn="0" w:lastRow="0" w:noHBand="0" w:noVBand="1" w:val="04A0"/>
      </w:tblPr>
      <w:tblGrid>
        <w:gridCol w:w="9504"/>
      </w:tblGrid>
      <w:tr>
        <w:tc>
          <w:tcPr>
            <w:tcW w:type="dxa" w:w="9360"/>
            <w:shd w:val="clear" w:fill="F5ECD6"/>
            <w:tcBorders>
              <w:start w:val="single" w:sz="22" w:space="0" w:color="C6A15B"/>
            </w:tcBorders>
          </w:tcPr>
          <w:p>
            <w:r>
              <w:rPr>
                <w:rFonts w:ascii="Calibri" w:hAnsi="Calibri"/>
                <w:b/>
                <w:i w:val="0"/>
                <w:color w:val="123B4F"/>
                <w:sz w:val="18"/>
              </w:rPr>
              <w:t>THE RULE THAT SITS ABOVE EVERY PAGE</w:t>
            </w:r>
          </w:p>
          <w:p>
            <w:r>
              <w:rPr>
                <w:rFonts w:ascii="Calibri" w:hAnsi="Calibri"/>
                <w:b w:val="0"/>
                <w:i w:val="0"/>
                <w:color w:val="1B2A32"/>
                <w:sz w:val="19"/>
              </w:rPr>
              <w:t xml:space="preserve">For a </w:t>
            </w:r>
            <w:r>
              <w:rPr>
                <w:rFonts w:ascii="Calibri" w:hAnsi="Calibri"/>
                <w:b/>
                <w:i w:val="0"/>
                <w:color w:val="1B2A32"/>
                <w:sz w:val="19"/>
              </w:rPr>
              <w:t>retail</w:t>
            </w:r>
            <w:r>
              <w:rPr>
                <w:rFonts w:ascii="Calibri" w:hAnsi="Calibri"/>
                <w:b w:val="0"/>
                <w:i w:val="0"/>
                <w:color w:val="1B2A32"/>
                <w:sz w:val="19"/>
              </w:rPr>
              <w:t xml:space="preserve"> policy, no arbitration clause applies (IRDAI circular, 27 October 2023), and the policyholder always retains the Insurance Ombudsman, the consumer commission and the civil court. For a </w:t>
            </w:r>
            <w:r>
              <w:rPr>
                <w:rFonts w:ascii="Calibri" w:hAnsi="Calibri"/>
                <w:b/>
                <w:i w:val="0"/>
                <w:color w:val="1B2A32"/>
                <w:sz w:val="19"/>
              </w:rPr>
              <w:t>commercial</w:t>
            </w:r>
            <w:r>
              <w:rPr>
                <w:rFonts w:ascii="Calibri" w:hAnsi="Calibri"/>
                <w:b w:val="0"/>
                <w:i w:val="0"/>
                <w:color w:val="1B2A32"/>
                <w:sz w:val="19"/>
              </w:rPr>
              <w:t xml:space="preserve"> policy, arbitration is available only on a separate, mutually agreed arbitration agreement. Every routing recommendation in this Compendium is subject to that split.</w:t>
            </w:r>
          </w:p>
        </w:tc>
      </w:tr>
    </w:tbl>
    <w:p>
      <w:pPr>
        <w:spacing w:after="40"/>
      </w:pPr>
    </w:p>
    <w:p>
      <w:r>
        <w:br w:type="page"/>
      </w:r>
    </w:p>
    <w:p>
      <w:pPr>
        <w:keepNext/>
        <w:spacing w:before="280" w:after="120"/>
        <w:pBdr>
          <w:bottom w:val="single" w:sz="12" w:space="3" w:color="C6A15B"/>
        </w:pBdr>
      </w:pPr>
      <w:r>
        <w:rPr>
          <w:rFonts w:ascii="Calibri" w:hAnsi="Calibri"/>
          <w:b/>
          <w:i w:val="0"/>
          <w:color w:val="123B4F"/>
          <w:sz w:val="32"/>
        </w:rPr>
        <w:t>1.  Part 1 — The master taxonomy</w:t>
      </w:r>
    </w:p>
    <w:p>
      <w:pPr>
        <w:spacing w:after="120"/>
        <w:jc w:val="both"/>
      </w:pPr>
      <w:r>
        <w:rPr>
          <w:rFonts w:ascii="Calibri" w:hAnsi="Calibri"/>
          <w:b w:val="0"/>
          <w:i w:val="0"/>
          <w:color w:val="1B2A32"/>
          <w:sz w:val="21"/>
        </w:rPr>
        <w:t>Every option list in the platform derives from the four-level taxonomy below. Level 1 is the line of business; Level 2 the sub-line or product; Level 3 the dispute type; Level 4 the ground the insurer relies on. The Developer Handoff Workbook reproduces these as enumerated types and the forms reproduce them as checkbox lists.</w:t>
      </w:r>
    </w:p>
    <w:p>
      <w:pPr>
        <w:keepNext/>
        <w:spacing w:before="200" w:after="60"/>
      </w:pPr>
      <w:r>
        <w:rPr>
          <w:rFonts w:ascii="Calibri" w:hAnsi="Calibri"/>
          <w:b/>
          <w:i w:val="0"/>
          <w:color w:val="1E7A8C"/>
          <w:sz w:val="25"/>
        </w:rPr>
        <w:t>1.1  Level 1 &amp; 2 — every line and sub-line written in India</w:t>
      </w:r>
    </w:p>
    <w:tbl>
      <w:tblPr>
        <w:tblStyle w:val="TableGrid"/>
        <w:tblW w:type="auto" w:w="0"/>
        <w:jc w:val="center"/>
        <w:tblLook w:firstColumn="1" w:firstRow="1" w:lastColumn="0" w:lastRow="0" w:noHBand="0" w:noVBand="1" w:val="04A0"/>
      </w:tblPr>
      <w:tblGrid>
        <w:gridCol w:w="4752"/>
        <w:gridCol w:w="4752"/>
      </w:tblGrid>
      <w:tr>
        <w:tc>
          <w:tcPr>
            <w:tcW w:type="dxa" w:w="31680"/>
            <w:shd w:val="clear" w:fill="123B4F"/>
          </w:tcPr>
          <w:p>
            <w:r/>
            <w:r>
              <w:rPr>
                <w:rFonts w:ascii="Calibri" w:hAnsi="Calibri"/>
                <w:b/>
                <w:i w:val="0"/>
                <w:color w:val="FFFFFF"/>
                <w:sz w:val="18"/>
              </w:rPr>
              <w:t>Group</w:t>
            </w:r>
          </w:p>
        </w:tc>
        <w:tc>
          <w:tcPr>
            <w:tcW w:type="dxa" w:w="112320"/>
            <w:shd w:val="clear" w:fill="123B4F"/>
          </w:tcPr>
          <w:p>
            <w:r/>
            <w:r>
              <w:rPr>
                <w:rFonts w:ascii="Calibri" w:hAnsi="Calibri"/>
                <w:b/>
                <w:i w:val="0"/>
                <w:color w:val="FFFFFF"/>
                <w:sz w:val="18"/>
              </w:rPr>
              <w:t>Sub-lines / products covered in this Compendium</w:t>
            </w:r>
          </w:p>
        </w:tc>
      </w:tr>
      <w:tr>
        <w:tc>
          <w:tcPr>
            <w:tcW w:type="dxa" w:w="31680"/>
          </w:tcPr>
          <w:p>
            <w:r/>
            <w:r>
              <w:rPr>
                <w:rFonts w:ascii="Calibri" w:hAnsi="Calibri"/>
                <w:b w:val="0"/>
                <w:i w:val="0"/>
                <w:color w:val="1B2A32"/>
                <w:sz w:val="18"/>
              </w:rPr>
              <w:t>Life</w:t>
            </w:r>
          </w:p>
        </w:tc>
        <w:tc>
          <w:tcPr>
            <w:tcW w:type="dxa" w:w="112320"/>
          </w:tcPr>
          <w:p>
            <w:r/>
            <w:r>
              <w:rPr>
                <w:rFonts w:ascii="Calibri" w:hAnsi="Calibri"/>
                <w:b w:val="0"/>
                <w:i w:val="0"/>
                <w:color w:val="1B2A32"/>
                <w:sz w:val="18"/>
              </w:rPr>
              <w:t>Term · endowment · whole life · money-back · ULIP · annuity/pension · group term · group credit/mortgage life · keyman · child plan · with-profit/participating · riders (accidental death, critical illness, waiver of premium, income benefit)</w:t>
            </w:r>
          </w:p>
        </w:tc>
      </w:tr>
      <w:tr>
        <w:tc>
          <w:tcPr>
            <w:tcW w:type="dxa" w:w="31680"/>
            <w:shd w:val="clear" w:fill="F3F7F9"/>
          </w:tcPr>
          <w:p>
            <w:r/>
            <w:r>
              <w:rPr>
                <w:rFonts w:ascii="Calibri" w:hAnsi="Calibri"/>
                <w:b w:val="0"/>
                <w:i w:val="0"/>
                <w:color w:val="1B2A32"/>
                <w:sz w:val="18"/>
              </w:rPr>
              <w:t>Health &amp; benefit</w:t>
            </w:r>
          </w:p>
        </w:tc>
        <w:tc>
          <w:tcPr>
            <w:tcW w:type="dxa" w:w="112320"/>
            <w:shd w:val="clear" w:fill="F3F7F9"/>
          </w:tcPr>
          <w:p>
            <w:r/>
            <w:r>
              <w:rPr>
                <w:rFonts w:ascii="Calibri" w:hAnsi="Calibri"/>
                <w:b w:val="0"/>
                <w:i w:val="0"/>
                <w:color w:val="1B2A32"/>
                <w:sz w:val="18"/>
              </w:rPr>
              <w:t>Individual indemnity · family floater · group/employer · senior-citizen · top-up/super top-up · disease-specific · critical illness (benefit) · fixed-benefit hospital cash · personal accident · OPD/wellness · maternity · international/overseas</w:t>
            </w:r>
          </w:p>
        </w:tc>
      </w:tr>
      <w:tr>
        <w:tc>
          <w:tcPr>
            <w:tcW w:type="dxa" w:w="31680"/>
          </w:tcPr>
          <w:p>
            <w:r/>
            <w:r>
              <w:rPr>
                <w:rFonts w:ascii="Calibri" w:hAnsi="Calibri"/>
                <w:b w:val="0"/>
                <w:i w:val="0"/>
                <w:color w:val="1B2A32"/>
                <w:sz w:val="18"/>
              </w:rPr>
              <w:t>Government &amp; micro health</w:t>
            </w:r>
          </w:p>
        </w:tc>
        <w:tc>
          <w:tcPr>
            <w:tcW w:type="dxa" w:w="112320"/>
          </w:tcPr>
          <w:p>
            <w:r/>
            <w:r>
              <w:rPr>
                <w:rFonts w:ascii="Calibri" w:hAnsi="Calibri"/>
                <w:b w:val="0"/>
                <w:i w:val="0"/>
                <w:color w:val="1B2A32"/>
                <w:sz w:val="18"/>
              </w:rPr>
              <w:t>Ayushman Bharat PM-JAY · State health-assurance schemes · Aam Aadmi Bima · PMJJBY (life) · PMSBY (accident) · micro-insurance products</w:t>
            </w:r>
          </w:p>
        </w:tc>
      </w:tr>
      <w:tr>
        <w:tc>
          <w:tcPr>
            <w:tcW w:type="dxa" w:w="31680"/>
            <w:shd w:val="clear" w:fill="F3F7F9"/>
          </w:tcPr>
          <w:p>
            <w:r/>
            <w:r>
              <w:rPr>
                <w:rFonts w:ascii="Calibri" w:hAnsi="Calibri"/>
                <w:b w:val="0"/>
                <w:i w:val="0"/>
                <w:color w:val="1B2A32"/>
                <w:sz w:val="18"/>
              </w:rPr>
              <w:t>Motor</w:t>
            </w:r>
          </w:p>
        </w:tc>
        <w:tc>
          <w:tcPr>
            <w:tcW w:type="dxa" w:w="112320"/>
            <w:shd w:val="clear" w:fill="F3F7F9"/>
          </w:tcPr>
          <w:p>
            <w:r/>
            <w:r>
              <w:rPr>
                <w:rFonts w:ascii="Calibri" w:hAnsi="Calibri"/>
                <w:b w:val="0"/>
                <w:i w:val="0"/>
                <w:color w:val="1B2A32"/>
                <w:sz w:val="18"/>
              </w:rPr>
              <w:t>Private-car own-damage · two-wheeler · commercial-vehicle OD · goods-carrying · passenger-carrying · third-party liability · long-term/bundled · add-ons (zero-dep, engine, return-to-invoice, consumables, NCB protection, roadside assistance)</w:t>
            </w:r>
          </w:p>
        </w:tc>
      </w:tr>
      <w:tr>
        <w:tc>
          <w:tcPr>
            <w:tcW w:type="dxa" w:w="31680"/>
          </w:tcPr>
          <w:p>
            <w:r/>
            <w:r>
              <w:rPr>
                <w:rFonts w:ascii="Calibri" w:hAnsi="Calibri"/>
                <w:b w:val="0"/>
                <w:i w:val="0"/>
                <w:color w:val="1B2A32"/>
                <w:sz w:val="18"/>
              </w:rPr>
              <w:t>Property (retail)</w:t>
            </w:r>
          </w:p>
        </w:tc>
        <w:tc>
          <w:tcPr>
            <w:tcW w:type="dxa" w:w="112320"/>
          </w:tcPr>
          <w:p>
            <w:r/>
            <w:r>
              <w:rPr>
                <w:rFonts w:ascii="Calibri" w:hAnsi="Calibri"/>
                <w:b w:val="0"/>
                <w:i w:val="0"/>
                <w:color w:val="1B2A32"/>
                <w:sz w:val="18"/>
              </w:rPr>
              <w:t>Home structure &amp; contents (Bharat Griha Raksha) · householder's package · fire (dwelling) · burglary · all-risk (jewellery, electronics)</w:t>
            </w:r>
          </w:p>
        </w:tc>
      </w:tr>
      <w:tr>
        <w:tc>
          <w:tcPr>
            <w:tcW w:type="dxa" w:w="31680"/>
            <w:shd w:val="clear" w:fill="F3F7F9"/>
          </w:tcPr>
          <w:p>
            <w:r/>
            <w:r>
              <w:rPr>
                <w:rFonts w:ascii="Calibri" w:hAnsi="Calibri"/>
                <w:b w:val="0"/>
                <w:i w:val="0"/>
                <w:color w:val="1B2A32"/>
                <w:sz w:val="18"/>
              </w:rPr>
              <w:t>Property &amp; fire (commercial)</w:t>
            </w:r>
          </w:p>
        </w:tc>
        <w:tc>
          <w:tcPr>
            <w:tcW w:type="dxa" w:w="112320"/>
            <w:shd w:val="clear" w:fill="F3F7F9"/>
          </w:tcPr>
          <w:p>
            <w:r/>
            <w:r>
              <w:rPr>
                <w:rFonts w:ascii="Calibri" w:hAnsi="Calibri"/>
                <w:b w:val="0"/>
                <w:i w:val="0"/>
                <w:color w:val="1B2A32"/>
                <w:sz w:val="18"/>
              </w:rPr>
              <w:t>Standard fire &amp; special perils / Bharat Sookshma &amp; Laghu Udyam · industrial all-risk · business interruption / consequential loss · burglary &amp; theft · money · plate glass · shopkeeper's / commercial package</w:t>
            </w:r>
          </w:p>
        </w:tc>
      </w:tr>
      <w:tr>
        <w:tc>
          <w:tcPr>
            <w:tcW w:type="dxa" w:w="31680"/>
          </w:tcPr>
          <w:p>
            <w:r/>
            <w:r>
              <w:rPr>
                <w:rFonts w:ascii="Calibri" w:hAnsi="Calibri"/>
                <w:b w:val="0"/>
                <w:i w:val="0"/>
                <w:color w:val="1B2A32"/>
                <w:sz w:val="18"/>
              </w:rPr>
              <w:t>Marine</w:t>
            </w:r>
          </w:p>
        </w:tc>
        <w:tc>
          <w:tcPr>
            <w:tcW w:type="dxa" w:w="112320"/>
          </w:tcPr>
          <w:p>
            <w:r/>
            <w:r>
              <w:rPr>
                <w:rFonts w:ascii="Calibri" w:hAnsi="Calibri"/>
                <w:b w:val="0"/>
                <w:i w:val="0"/>
                <w:color w:val="1B2A32"/>
                <w:sz w:val="18"/>
              </w:rPr>
              <w:t>Marine cargo (import/export/inland transit) · marine hull &amp; machinery · freight · ports &amp; terminals · marine liability</w:t>
            </w:r>
          </w:p>
        </w:tc>
      </w:tr>
      <w:tr>
        <w:tc>
          <w:tcPr>
            <w:tcW w:type="dxa" w:w="31680"/>
            <w:shd w:val="clear" w:fill="F3F7F9"/>
          </w:tcPr>
          <w:p>
            <w:r/>
            <w:r>
              <w:rPr>
                <w:rFonts w:ascii="Calibri" w:hAnsi="Calibri"/>
                <w:b w:val="0"/>
                <w:i w:val="0"/>
                <w:color w:val="1B2A32"/>
                <w:sz w:val="18"/>
              </w:rPr>
              <w:t>Aviation</w:t>
            </w:r>
          </w:p>
        </w:tc>
        <w:tc>
          <w:tcPr>
            <w:tcW w:type="dxa" w:w="112320"/>
            <w:shd w:val="clear" w:fill="F3F7F9"/>
          </w:tcPr>
          <w:p>
            <w:r/>
            <w:r>
              <w:rPr>
                <w:rFonts w:ascii="Calibri" w:hAnsi="Calibri"/>
                <w:b w:val="0"/>
                <w:i w:val="0"/>
                <w:color w:val="1B2A32"/>
                <w:sz w:val="18"/>
              </w:rPr>
              <w:t>Aircraft hull · aviation liability · airport owners' &amp; operators' liability · loss of licence · drone/UAV</w:t>
            </w:r>
          </w:p>
        </w:tc>
      </w:tr>
      <w:tr>
        <w:tc>
          <w:tcPr>
            <w:tcW w:type="dxa" w:w="31680"/>
          </w:tcPr>
          <w:p>
            <w:r/>
            <w:r>
              <w:rPr>
                <w:rFonts w:ascii="Calibri" w:hAnsi="Calibri"/>
                <w:b w:val="0"/>
                <w:i w:val="0"/>
                <w:color w:val="1B2A32"/>
                <w:sz w:val="18"/>
              </w:rPr>
              <w:t>Engineering</w:t>
            </w:r>
          </w:p>
        </w:tc>
        <w:tc>
          <w:tcPr>
            <w:tcW w:type="dxa" w:w="112320"/>
          </w:tcPr>
          <w:p>
            <w:r/>
            <w:r>
              <w:rPr>
                <w:rFonts w:ascii="Calibri" w:hAnsi="Calibri"/>
                <w:b w:val="0"/>
                <w:i w:val="0"/>
                <w:color w:val="1B2A32"/>
                <w:sz w:val="18"/>
              </w:rPr>
              <w:t>Contractors' all-risk (CAR) · erection all-risk (EAR) · machinery breakdown · boiler &amp; pressure plant · electronic equipment · contractors' plant &amp; machinery · advance loss of profits (ALOP/DSU)</w:t>
            </w:r>
          </w:p>
        </w:tc>
      </w:tr>
      <w:tr>
        <w:tc>
          <w:tcPr>
            <w:tcW w:type="dxa" w:w="31680"/>
            <w:shd w:val="clear" w:fill="F3F7F9"/>
          </w:tcPr>
          <w:p>
            <w:r/>
            <w:r>
              <w:rPr>
                <w:rFonts w:ascii="Calibri" w:hAnsi="Calibri"/>
                <w:b w:val="0"/>
                <w:i w:val="0"/>
                <w:color w:val="1B2A32"/>
                <w:sz w:val="18"/>
              </w:rPr>
              <w:t>Liability</w:t>
            </w:r>
          </w:p>
        </w:tc>
        <w:tc>
          <w:tcPr>
            <w:tcW w:type="dxa" w:w="112320"/>
            <w:shd w:val="clear" w:fill="F3F7F9"/>
          </w:tcPr>
          <w:p>
            <w:r/>
            <w:r>
              <w:rPr>
                <w:rFonts w:ascii="Calibri" w:hAnsi="Calibri"/>
                <w:b w:val="0"/>
                <w:i w:val="0"/>
                <w:color w:val="1B2A32"/>
                <w:sz w:val="18"/>
              </w:rPr>
              <w:t>Commercial general / public liability · product liability · professional indemnity (medical, legal, engineers, IT) · directors' &amp; officers' (D&amp;O) · employers' liability · public-liability (statutory, PLI Act) · environmental</w:t>
            </w:r>
          </w:p>
        </w:tc>
      </w:tr>
      <w:tr>
        <w:tc>
          <w:tcPr>
            <w:tcW w:type="dxa" w:w="31680"/>
          </w:tcPr>
          <w:p>
            <w:r/>
            <w:r>
              <w:rPr>
                <w:rFonts w:ascii="Calibri" w:hAnsi="Calibri"/>
                <w:b w:val="0"/>
                <w:i w:val="0"/>
                <w:color w:val="1B2A32"/>
                <w:sz w:val="18"/>
              </w:rPr>
              <w:t>Cyber</w:t>
            </w:r>
          </w:p>
        </w:tc>
        <w:tc>
          <w:tcPr>
            <w:tcW w:type="dxa" w:w="112320"/>
          </w:tcPr>
          <w:p>
            <w:r/>
            <w:r>
              <w:rPr>
                <w:rFonts w:ascii="Calibri" w:hAnsi="Calibri"/>
                <w:b w:val="0"/>
                <w:i w:val="0"/>
                <w:color w:val="1B2A32"/>
                <w:sz w:val="18"/>
              </w:rPr>
              <w:t>Retail cyber (individual) · commercial cyber (first- &amp; third-party) · technology E&amp;O · cyber-crime / BEC / social engineering</w:t>
            </w:r>
          </w:p>
        </w:tc>
      </w:tr>
      <w:tr>
        <w:tc>
          <w:tcPr>
            <w:tcW w:type="dxa" w:w="31680"/>
            <w:shd w:val="clear" w:fill="F3F7F9"/>
          </w:tcPr>
          <w:p>
            <w:r/>
            <w:r>
              <w:rPr>
                <w:rFonts w:ascii="Calibri" w:hAnsi="Calibri"/>
                <w:b w:val="0"/>
                <w:i w:val="0"/>
                <w:color w:val="1B2A32"/>
                <w:sz w:val="18"/>
              </w:rPr>
              <w:t>Financial lines</w:t>
            </w:r>
          </w:p>
        </w:tc>
        <w:tc>
          <w:tcPr>
            <w:tcW w:type="dxa" w:w="112320"/>
            <w:shd w:val="clear" w:fill="F3F7F9"/>
          </w:tcPr>
          <w:p>
            <w:r/>
            <w:r>
              <w:rPr>
                <w:rFonts w:ascii="Calibri" w:hAnsi="Calibri"/>
                <w:b w:val="0"/>
                <w:i w:val="0"/>
                <w:color w:val="1B2A32"/>
                <w:sz w:val="18"/>
              </w:rPr>
              <w:t>Trade credit · surety bonds (contract, advance-payment, performance) · fidelity guarantee · bankers' blanket bond (BBB) · crime · political risk</w:t>
            </w:r>
          </w:p>
        </w:tc>
      </w:tr>
      <w:tr>
        <w:tc>
          <w:tcPr>
            <w:tcW w:type="dxa" w:w="31680"/>
          </w:tcPr>
          <w:p>
            <w:r/>
            <w:r>
              <w:rPr>
                <w:rFonts w:ascii="Calibri" w:hAnsi="Calibri"/>
                <w:b w:val="0"/>
                <w:i w:val="0"/>
                <w:color w:val="1B2A32"/>
                <w:sz w:val="18"/>
              </w:rPr>
              <w:t>Rural &amp; agriculture</w:t>
            </w:r>
          </w:p>
        </w:tc>
        <w:tc>
          <w:tcPr>
            <w:tcW w:type="dxa" w:w="112320"/>
          </w:tcPr>
          <w:p>
            <w:r/>
            <w:r>
              <w:rPr>
                <w:rFonts w:ascii="Calibri" w:hAnsi="Calibri"/>
                <w:b w:val="0"/>
                <w:i w:val="0"/>
                <w:color w:val="1B2A32"/>
                <w:sz w:val="18"/>
              </w:rPr>
              <w:t>PMFBY crop · Restructured Weather-Based Crop Insurance · cattle/livestock · poultry · aquaculture · sericulture · horticulture · farm package · pump-set · Kisan credit-linked</w:t>
            </w:r>
          </w:p>
        </w:tc>
      </w:tr>
      <w:tr>
        <w:tc>
          <w:tcPr>
            <w:tcW w:type="dxa" w:w="31680"/>
            <w:shd w:val="clear" w:fill="F3F7F9"/>
          </w:tcPr>
          <w:p>
            <w:r/>
            <w:r>
              <w:rPr>
                <w:rFonts w:ascii="Calibri" w:hAnsi="Calibri"/>
                <w:b w:val="0"/>
                <w:i w:val="0"/>
                <w:color w:val="1B2A32"/>
                <w:sz w:val="18"/>
              </w:rPr>
              <w:t>Workforce</w:t>
            </w:r>
          </w:p>
        </w:tc>
        <w:tc>
          <w:tcPr>
            <w:tcW w:type="dxa" w:w="112320"/>
            <w:shd w:val="clear" w:fill="F3F7F9"/>
          </w:tcPr>
          <w:p>
            <w:r/>
            <w:r>
              <w:rPr>
                <w:rFonts w:ascii="Calibri" w:hAnsi="Calibri"/>
                <w:b w:val="0"/>
                <w:i w:val="0"/>
                <w:color w:val="1B2A32"/>
                <w:sz w:val="18"/>
              </w:rPr>
              <w:t>Employees' Compensation (WC) insurance (Employees' Compensation Act, 1923) · group personal accident · group health (see health)</w:t>
            </w:r>
          </w:p>
        </w:tc>
      </w:tr>
      <w:tr>
        <w:tc>
          <w:tcPr>
            <w:tcW w:type="dxa" w:w="31680"/>
          </w:tcPr>
          <w:p>
            <w:r/>
            <w:r>
              <w:rPr>
                <w:rFonts w:ascii="Calibri" w:hAnsi="Calibri"/>
                <w:b w:val="0"/>
                <w:i w:val="0"/>
                <w:color w:val="1B2A32"/>
                <w:sz w:val="18"/>
              </w:rPr>
              <w:t>Title &amp; specialty</w:t>
            </w:r>
          </w:p>
        </w:tc>
        <w:tc>
          <w:tcPr>
            <w:tcW w:type="dxa" w:w="112320"/>
          </w:tcPr>
          <w:p>
            <w:r/>
            <w:r>
              <w:rPr>
                <w:rFonts w:ascii="Calibri" w:hAnsi="Calibri"/>
                <w:b w:val="0"/>
                <w:i w:val="0"/>
                <w:color w:val="1B2A32"/>
                <w:sz w:val="18"/>
              </w:rPr>
              <w:t>Title insurance · event/wedding cancellation · pet · gadget/mobile · extended warranty · contingency · sports · film/media completion</w:t>
            </w:r>
          </w:p>
        </w:tc>
      </w:tr>
      <w:tr>
        <w:tc>
          <w:tcPr>
            <w:tcW w:type="dxa" w:w="31680"/>
            <w:shd w:val="clear" w:fill="F3F7F9"/>
          </w:tcPr>
          <w:p>
            <w:r/>
            <w:r>
              <w:rPr>
                <w:rFonts w:ascii="Calibri" w:hAnsi="Calibri"/>
                <w:b w:val="0"/>
                <w:i w:val="0"/>
                <w:color w:val="1B2A32"/>
                <w:sz w:val="18"/>
              </w:rPr>
              <w:t>Reinsurance</w:t>
            </w:r>
          </w:p>
        </w:tc>
        <w:tc>
          <w:tcPr>
            <w:tcW w:type="dxa" w:w="112320"/>
            <w:shd w:val="clear" w:fill="F3F7F9"/>
          </w:tcPr>
          <w:p>
            <w:r/>
            <w:r>
              <w:rPr>
                <w:rFonts w:ascii="Calibri" w:hAnsi="Calibri"/>
                <w:b w:val="0"/>
                <w:i w:val="0"/>
                <w:color w:val="1B2A32"/>
                <w:sz w:val="18"/>
              </w:rPr>
              <w:t>Facultative · treaty (proportional / non-proportional) · retrocession — see Part 3.20</w:t>
            </w:r>
          </w:p>
        </w:tc>
      </w:tr>
    </w:tbl>
    <w:p>
      <w:pPr>
        <w:spacing w:after="40"/>
      </w:pPr>
    </w:p>
    <w:p>
      <w:pPr>
        <w:keepNext/>
        <w:spacing w:before="200" w:after="60"/>
      </w:pPr>
      <w:r>
        <w:rPr>
          <w:rFonts w:ascii="Calibri" w:hAnsi="Calibri"/>
          <w:b/>
          <w:i w:val="0"/>
          <w:color w:val="1E7A8C"/>
          <w:sz w:val="25"/>
        </w:rPr>
        <w:t>1.2  Level 3 — the universe of dispute types (35)</w:t>
      </w:r>
    </w:p>
    <w:p>
      <w:pPr>
        <w:spacing w:after="120"/>
        <w:jc w:val="both"/>
      </w:pPr>
      <w:r>
        <w:rPr>
          <w:rFonts w:ascii="Calibri" w:hAnsi="Calibri"/>
          <w:b w:val="0"/>
          <w:i w:val="0"/>
          <w:color w:val="1B2A32"/>
          <w:sz w:val="21"/>
        </w:rPr>
        <w:t>Every insurance dispute reduces to one or more of these. They are grouped by where in the claim life the dispute arises.</w:t>
      </w:r>
    </w:p>
    <w:tbl>
      <w:tblPr>
        <w:tblStyle w:val="TableGrid"/>
        <w:tblW w:type="auto" w:w="0"/>
        <w:jc w:val="center"/>
        <w:tblLook w:firstColumn="1" w:firstRow="1" w:lastColumn="0" w:lastRow="0" w:noHBand="0" w:noVBand="1" w:val="04A0"/>
      </w:tblPr>
      <w:tblGrid>
        <w:gridCol w:w="4752"/>
        <w:gridCol w:w="4752"/>
      </w:tblGrid>
      <w:tr>
        <w:tc>
          <w:tcPr>
            <w:tcW w:type="dxa" w:w="31680"/>
            <w:shd w:val="clear" w:fill="123B4F"/>
          </w:tcPr>
          <w:p>
            <w:r/>
            <w:r>
              <w:rPr>
                <w:rFonts w:ascii="Calibri" w:hAnsi="Calibri"/>
                <w:b/>
                <w:i w:val="0"/>
                <w:color w:val="FFFFFF"/>
                <w:sz w:val="18"/>
              </w:rPr>
              <w:t>Stage</w:t>
            </w:r>
          </w:p>
        </w:tc>
        <w:tc>
          <w:tcPr>
            <w:tcW w:type="dxa" w:w="112320"/>
            <w:shd w:val="clear" w:fill="123B4F"/>
          </w:tcPr>
          <w:p>
            <w:r/>
            <w:r>
              <w:rPr>
                <w:rFonts w:ascii="Calibri" w:hAnsi="Calibri"/>
                <w:b/>
                <w:i w:val="0"/>
                <w:color w:val="FFFFFF"/>
                <w:sz w:val="18"/>
              </w:rPr>
              <w:t>Dispute types</w:t>
            </w:r>
          </w:p>
        </w:tc>
      </w:tr>
      <w:tr>
        <w:tc>
          <w:tcPr>
            <w:tcW w:type="dxa" w:w="31680"/>
          </w:tcPr>
          <w:p>
            <w:r/>
            <w:r>
              <w:rPr>
                <w:rFonts w:ascii="Calibri" w:hAnsi="Calibri"/>
                <w:b w:val="0"/>
                <w:i w:val="0"/>
                <w:color w:val="1B2A32"/>
                <w:sz w:val="18"/>
              </w:rPr>
              <w:t>Pre-claim / policy servicing</w:t>
            </w:r>
          </w:p>
        </w:tc>
        <w:tc>
          <w:tcPr>
            <w:tcW w:type="dxa" w:w="112320"/>
          </w:tcPr>
          <w:p>
            <w:r/>
            <w:r>
              <w:rPr>
                <w:rFonts w:ascii="Calibri" w:hAnsi="Calibri"/>
                <w:b w:val="0"/>
                <w:i w:val="0"/>
                <w:color w:val="1B2A32"/>
                <w:sz w:val="18"/>
              </w:rPr>
              <w:t>Policy or documents not issued · wrong endorsement · premium/refund dispute · lapse &amp; revival · portability/migration refused · free-look refund refused · KYC / servicing failure · assignment/nomination dispute</w:t>
            </w:r>
          </w:p>
        </w:tc>
      </w:tr>
      <w:tr>
        <w:tc>
          <w:tcPr>
            <w:tcW w:type="dxa" w:w="31680"/>
            <w:shd w:val="clear" w:fill="F3F7F9"/>
          </w:tcPr>
          <w:p>
            <w:r/>
            <w:r>
              <w:rPr>
                <w:rFonts w:ascii="Calibri" w:hAnsi="Calibri"/>
                <w:b w:val="0"/>
                <w:i w:val="0"/>
                <w:color w:val="1B2A32"/>
                <w:sz w:val="18"/>
              </w:rPr>
              <w:t>Point-of-sale</w:t>
            </w:r>
          </w:p>
        </w:tc>
        <w:tc>
          <w:tcPr>
            <w:tcW w:type="dxa" w:w="112320"/>
            <w:shd w:val="clear" w:fill="F3F7F9"/>
          </w:tcPr>
          <w:p>
            <w:r/>
            <w:r>
              <w:rPr>
                <w:rFonts w:ascii="Calibri" w:hAnsi="Calibri"/>
                <w:b w:val="0"/>
                <w:i w:val="0"/>
                <w:color w:val="1B2A32"/>
                <w:sz w:val="18"/>
              </w:rPr>
              <w:t>Mis-selling · suitability · benefit-illustration mismatch · churning/twisting · forced/linked sale (bancassurance) · web-aggregator/POSP conduct</w:t>
            </w:r>
          </w:p>
        </w:tc>
      </w:tr>
      <w:tr>
        <w:tc>
          <w:tcPr>
            <w:tcW w:type="dxa" w:w="31680"/>
          </w:tcPr>
          <w:p>
            <w:r/>
            <w:r>
              <w:rPr>
                <w:rFonts w:ascii="Calibri" w:hAnsi="Calibri"/>
                <w:b w:val="0"/>
                <w:i w:val="0"/>
                <w:color w:val="1B2A32"/>
                <w:sz w:val="18"/>
              </w:rPr>
              <w:t>Claim admissibility</w:t>
            </w:r>
          </w:p>
        </w:tc>
        <w:tc>
          <w:tcPr>
            <w:tcW w:type="dxa" w:w="112320"/>
          </w:tcPr>
          <w:p>
            <w:r/>
            <w:r>
              <w:rPr>
                <w:rFonts w:ascii="Calibri" w:hAnsi="Calibri"/>
                <w:b w:val="0"/>
                <w:i w:val="0"/>
                <w:color w:val="1B2A32"/>
                <w:sz w:val="18"/>
              </w:rPr>
              <w:t>Repudiation in full · non-disclosure alleged · misrepresentation/fraud · pre-existing disease/waiting period · policy exclusion applied · peril not covered (proximate cause) · condition/warranty breach · delay in intimation · claim outside the policy period · policy lapsed at loss</w:t>
            </w:r>
          </w:p>
        </w:tc>
      </w:tr>
      <w:tr>
        <w:tc>
          <w:tcPr>
            <w:tcW w:type="dxa" w:w="31680"/>
            <w:shd w:val="clear" w:fill="F3F7F9"/>
          </w:tcPr>
          <w:p>
            <w:r/>
            <w:r>
              <w:rPr>
                <w:rFonts w:ascii="Calibri" w:hAnsi="Calibri"/>
                <w:b w:val="0"/>
                <w:i w:val="0"/>
                <w:color w:val="1B2A32"/>
                <w:sz w:val="18"/>
              </w:rPr>
              <w:t>Claim quantum</w:t>
            </w:r>
          </w:p>
        </w:tc>
        <w:tc>
          <w:tcPr>
            <w:tcW w:type="dxa" w:w="112320"/>
            <w:shd w:val="clear" w:fill="F3F7F9"/>
          </w:tcPr>
          <w:p>
            <w:r/>
            <w:r>
              <w:rPr>
                <w:rFonts w:ascii="Calibri" w:hAnsi="Calibri"/>
                <w:b w:val="0"/>
                <w:i w:val="0"/>
                <w:color w:val="1B2A32"/>
                <w:sz w:val="18"/>
              </w:rPr>
              <w:t>Short settlement · deduction (room-rent/proportionate, co-pay, sub-limit, depreciation, salvage, excess/deductible) · underinsurance/average · sum-insured/IDV dispute · survey/assessment disputed · business-interruption computation · basis of indemnity (reinstatement vs market value)</w:t>
            </w:r>
          </w:p>
        </w:tc>
      </w:tr>
      <w:tr>
        <w:tc>
          <w:tcPr>
            <w:tcW w:type="dxa" w:w="31680"/>
          </w:tcPr>
          <w:p>
            <w:r/>
            <w:r>
              <w:rPr>
                <w:rFonts w:ascii="Calibri" w:hAnsi="Calibri"/>
                <w:b w:val="0"/>
                <w:i w:val="0"/>
                <w:color w:val="1B2A32"/>
                <w:sz w:val="18"/>
              </w:rPr>
              <w:t>Post-settlement / recovery</w:t>
            </w:r>
          </w:p>
        </w:tc>
        <w:tc>
          <w:tcPr>
            <w:tcW w:type="dxa" w:w="112320"/>
          </w:tcPr>
          <w:p>
            <w:r/>
            <w:r>
              <w:rPr>
                <w:rFonts w:ascii="Calibri" w:hAnsi="Calibri"/>
                <w:b w:val="0"/>
                <w:i w:val="0"/>
                <w:color w:val="1B2A32"/>
                <w:sz w:val="18"/>
              </w:rPr>
              <w:t>Delay in payment &amp; interest · discharge-voucher/under-protest · contribution (double insurance) · subrogation &amp; recovery sharing · cancellation by insurer · bad-faith / compensation for harassment</w:t>
            </w:r>
          </w:p>
        </w:tc>
      </w:tr>
      <w:tr>
        <w:tc>
          <w:tcPr>
            <w:tcW w:type="dxa" w:w="31680"/>
            <w:shd w:val="clear" w:fill="F3F7F9"/>
          </w:tcPr>
          <w:p>
            <w:r/>
            <w:r>
              <w:rPr>
                <w:rFonts w:ascii="Calibri" w:hAnsi="Calibri"/>
                <w:b w:val="0"/>
                <w:i w:val="0"/>
                <w:color w:val="1B2A32"/>
                <w:sz w:val="18"/>
              </w:rPr>
              <w:t>Multi-party</w:t>
            </w:r>
          </w:p>
        </w:tc>
        <w:tc>
          <w:tcPr>
            <w:tcW w:type="dxa" w:w="112320"/>
            <w:shd w:val="clear" w:fill="F3F7F9"/>
          </w:tcPr>
          <w:p>
            <w:r/>
            <w:r>
              <w:rPr>
                <w:rFonts w:ascii="Calibri" w:hAnsi="Calibri"/>
                <w:b w:val="0"/>
                <w:i w:val="0"/>
                <w:color w:val="1B2A32"/>
                <w:sz w:val="18"/>
              </w:rPr>
              <w:t>Nomination/heirship contest · co-insurer alignment · reinsurer-driven decision · TPA/hospital package-rate · agent/broker conduct</w:t>
            </w:r>
          </w:p>
        </w:tc>
      </w:tr>
    </w:tbl>
    <w:p>
      <w:pPr>
        <w:spacing w:after="40"/>
      </w:pPr>
    </w:p>
    <w:p>
      <w:pPr>
        <w:keepNext/>
        <w:spacing w:before="200" w:after="60"/>
      </w:pPr>
      <w:r>
        <w:rPr>
          <w:rFonts w:ascii="Calibri" w:hAnsi="Calibri"/>
          <w:b/>
          <w:i w:val="0"/>
          <w:color w:val="1E7A8C"/>
          <w:sz w:val="25"/>
        </w:rPr>
        <w:t>1.3  Level 4 — the grounds an insurer relies on (16)</w:t>
      </w:r>
    </w:p>
    <w:p>
      <w:pPr>
        <w:spacing w:after="120"/>
        <w:jc w:val="both"/>
      </w:pPr>
      <w:r>
        <w:rPr>
          <w:rFonts w:ascii="Calibri" w:hAnsi="Calibri"/>
          <w:b w:val="0"/>
          <w:i w:val="0"/>
          <w:color w:val="1B2A32"/>
          <w:sz w:val="21"/>
        </w:rPr>
        <w:t>Non-disclosure of a material fact · misrepresentation or fraud (s.45) · pre-existing disease · waiting period not completed · specific policy exclusion · proximate cause not a covered peril · breach of condition precedent or warranty · delay in intimation · policy lapsed / premium unpaid · loss outside the policy period · documents not furnished · adverse investigation / suspected fraud · sum insured or limit exhausted · duplicate or inflated claim · underinsurance / average · no reason stated.</w:t>
      </w:r>
    </w:p>
    <w:p>
      <w:r>
        <w:br w:type="page"/>
      </w:r>
    </w:p>
    <w:p>
      <w:pPr>
        <w:keepNext/>
        <w:spacing w:before="280" w:after="120"/>
        <w:pBdr>
          <w:bottom w:val="single" w:sz="12" w:space="3" w:color="C6A15B"/>
        </w:pBdr>
      </w:pPr>
      <w:r>
        <w:rPr>
          <w:rFonts w:ascii="Calibri" w:hAnsi="Calibri"/>
          <w:b/>
          <w:i w:val="0"/>
          <w:color w:val="123B4F"/>
          <w:sz w:val="32"/>
        </w:rPr>
        <w:t>2.  Part 2 — The master matrices</w:t>
      </w:r>
    </w:p>
    <w:p>
      <w:pPr>
        <w:spacing w:after="120"/>
        <w:jc w:val="both"/>
      </w:pPr>
      <w:r>
        <w:rPr>
          <w:rFonts w:ascii="Calibri" w:hAnsi="Calibri"/>
          <w:b w:val="0"/>
          <w:i w:val="0"/>
          <w:color w:val="1B2A32"/>
          <w:sz w:val="21"/>
        </w:rPr>
        <w:t xml:space="preserve">Two matrices drive the platform. The </w:t>
      </w:r>
      <w:r>
        <w:rPr>
          <w:rFonts w:ascii="Calibri" w:hAnsi="Calibri"/>
          <w:b/>
          <w:i w:val="0"/>
          <w:color w:val="1B2A32"/>
          <w:sz w:val="21"/>
        </w:rPr>
        <w:t>routing matrix</w:t>
      </w:r>
      <w:r>
        <w:rPr>
          <w:rFonts w:ascii="Calibri" w:hAnsi="Calibri"/>
          <w:b w:val="0"/>
          <w:i w:val="0"/>
          <w:color w:val="1B2A32"/>
          <w:sz w:val="21"/>
        </w:rPr>
        <w:t xml:space="preserve"> maps a dispute to its forum; the </w:t>
      </w:r>
      <w:r>
        <w:rPr>
          <w:rFonts w:ascii="Calibri" w:hAnsi="Calibri"/>
          <w:b/>
          <w:i w:val="0"/>
          <w:color w:val="1B2A32"/>
          <w:sz w:val="21"/>
        </w:rPr>
        <w:t>mediability matrix</w:t>
      </w:r>
      <w:r>
        <w:rPr>
          <w:rFonts w:ascii="Calibri" w:hAnsi="Calibri"/>
          <w:b w:val="0"/>
          <w:i w:val="0"/>
          <w:color w:val="1B2A32"/>
          <w:sz w:val="21"/>
        </w:rPr>
        <w:t xml:space="preserve"> records what settles and why. The AI Dispute Explorer and the case-manager console both read from these, and the routing matrix is deterministic — the model classifies, the matrix routes.</w:t>
      </w:r>
    </w:p>
    <w:p>
      <w:pPr>
        <w:keepNext/>
        <w:spacing w:before="200" w:after="60"/>
      </w:pPr>
      <w:r>
        <w:rPr>
          <w:rFonts w:ascii="Calibri" w:hAnsi="Calibri"/>
          <w:b/>
          <w:i w:val="0"/>
          <w:color w:val="1E7A8C"/>
          <w:sz w:val="25"/>
        </w:rPr>
        <w:t>2.1  2.1  Routing matrix — product line to forum</w:t>
      </w:r>
    </w:p>
    <w:p>
      <w:pPr>
        <w:spacing w:after="120"/>
        <w:jc w:val="both"/>
      </w:pPr>
      <w:r>
        <w:rPr>
          <w:rFonts w:ascii="Calibri" w:hAnsi="Calibri"/>
          <w:b w:val="0"/>
          <w:i w:val="0"/>
          <w:color w:val="1B2A32"/>
          <w:sz w:val="21"/>
        </w:rPr>
        <w:t>For every line, the primary forum for an individual policyholder, the forum for a business insured, and the special forum that displaces both where one exists.</w:t>
      </w:r>
    </w:p>
    <w:tbl>
      <w:tblPr>
        <w:tblStyle w:val="TableGrid"/>
        <w:tblW w:type="auto" w:w="0"/>
        <w:jc w:val="center"/>
        <w:tblLook w:firstColumn="1" w:firstRow="1" w:lastColumn="0" w:lastRow="0" w:noHBand="0" w:noVBand="1" w:val="04A0"/>
      </w:tblPr>
      <w:tblGrid>
        <w:gridCol w:w="2376"/>
        <w:gridCol w:w="2376"/>
        <w:gridCol w:w="2376"/>
        <w:gridCol w:w="2376"/>
      </w:tblGrid>
      <w:tr>
        <w:tc>
          <w:tcPr>
            <w:tcW w:type="dxa" w:w="27360"/>
            <w:shd w:val="clear" w:fill="123B4F"/>
          </w:tcPr>
          <w:p>
            <w:r/>
            <w:r>
              <w:rPr>
                <w:rFonts w:ascii="Calibri" w:hAnsi="Calibri"/>
                <w:b/>
                <w:i w:val="0"/>
                <w:color w:val="FFFFFF"/>
                <w:sz w:val="18"/>
              </w:rPr>
              <w:t>Line</w:t>
            </w:r>
          </w:p>
        </w:tc>
        <w:tc>
          <w:tcPr>
            <w:tcW w:type="dxa" w:w="43200"/>
            <w:shd w:val="clear" w:fill="123B4F"/>
          </w:tcPr>
          <w:p>
            <w:r/>
            <w:r>
              <w:rPr>
                <w:rFonts w:ascii="Calibri" w:hAnsi="Calibri"/>
                <w:b/>
                <w:i w:val="0"/>
                <w:color w:val="FFFFFF"/>
                <w:sz w:val="18"/>
              </w:rPr>
              <w:t>Retail policyholder — primary route</w:t>
            </w:r>
          </w:p>
        </w:tc>
        <w:tc>
          <w:tcPr>
            <w:tcW w:type="dxa" w:w="38880"/>
            <w:shd w:val="clear" w:fill="123B4F"/>
          </w:tcPr>
          <w:p>
            <w:r/>
            <w:r>
              <w:rPr>
                <w:rFonts w:ascii="Calibri" w:hAnsi="Calibri"/>
                <w:b/>
                <w:i w:val="0"/>
                <w:color w:val="FFFFFF"/>
                <w:sz w:val="18"/>
              </w:rPr>
              <w:t>Commercial insured — primary route</w:t>
            </w:r>
          </w:p>
        </w:tc>
        <w:tc>
          <w:tcPr>
            <w:tcW w:type="dxa" w:w="34560"/>
            <w:shd w:val="clear" w:fill="123B4F"/>
          </w:tcPr>
          <w:p>
            <w:r/>
            <w:r>
              <w:rPr>
                <w:rFonts w:ascii="Calibri" w:hAnsi="Calibri"/>
                <w:b/>
                <w:i w:val="0"/>
                <w:color w:val="FFFFFF"/>
                <w:sz w:val="18"/>
              </w:rPr>
              <w:t>Special forum that displaces the above</w:t>
            </w:r>
          </w:p>
        </w:tc>
      </w:tr>
      <w:tr>
        <w:tc>
          <w:tcPr>
            <w:tcW w:type="dxa" w:w="27360"/>
          </w:tcPr>
          <w:p>
            <w:r/>
            <w:r>
              <w:rPr>
                <w:rFonts w:ascii="Calibri" w:hAnsi="Calibri"/>
                <w:b w:val="0"/>
                <w:i w:val="0"/>
                <w:color w:val="1B2A32"/>
                <w:sz w:val="18"/>
              </w:rPr>
              <w:t>Life</w:t>
            </w:r>
          </w:p>
        </w:tc>
        <w:tc>
          <w:tcPr>
            <w:tcW w:type="dxa" w:w="43200"/>
          </w:tcPr>
          <w:p>
            <w:r/>
            <w:r>
              <w:rPr>
                <w:rFonts w:ascii="Calibri" w:hAnsi="Calibri"/>
                <w:b w:val="0"/>
                <w:i w:val="0"/>
                <w:color w:val="1B2A32"/>
                <w:sz w:val="18"/>
              </w:rPr>
              <w:t>Insurer grievance → Insurance Ombudsman (≤₹50L) → consumer commission</w:t>
            </w:r>
          </w:p>
        </w:tc>
        <w:tc>
          <w:tcPr>
            <w:tcW w:type="dxa" w:w="38880"/>
          </w:tcPr>
          <w:p>
            <w:r/>
            <w:r>
              <w:rPr>
                <w:rFonts w:ascii="Calibri" w:hAnsi="Calibri"/>
                <w:b w:val="0"/>
                <w:i w:val="0"/>
                <w:color w:val="1B2A32"/>
                <w:sz w:val="18"/>
              </w:rPr>
              <w:t>Civil court; arbitration if separately agreed</w:t>
            </w:r>
          </w:p>
        </w:tc>
        <w:tc>
          <w:tcPr>
            <w:tcW w:type="dxa" w:w="34560"/>
          </w:tcPr>
          <w:p>
            <w:r/>
            <w:r>
              <w:rPr>
                <w:rFonts w:ascii="Calibri" w:hAnsi="Calibri"/>
                <w:b w:val="0"/>
                <w:i w:val="0"/>
                <w:color w:val="1B2A32"/>
                <w:sz w:val="18"/>
              </w:rPr>
              <w:t>—</w:t>
            </w:r>
          </w:p>
        </w:tc>
      </w:tr>
      <w:tr>
        <w:tc>
          <w:tcPr>
            <w:tcW w:type="dxa" w:w="27360"/>
            <w:shd w:val="clear" w:fill="F3F7F9"/>
          </w:tcPr>
          <w:p>
            <w:r/>
            <w:r>
              <w:rPr>
                <w:rFonts w:ascii="Calibri" w:hAnsi="Calibri"/>
                <w:b w:val="0"/>
                <w:i w:val="0"/>
                <w:color w:val="1B2A32"/>
                <w:sz w:val="18"/>
              </w:rPr>
              <w:t>Health (private)</w:t>
            </w:r>
          </w:p>
        </w:tc>
        <w:tc>
          <w:tcPr>
            <w:tcW w:type="dxa" w:w="43200"/>
            <w:shd w:val="clear" w:fill="F3F7F9"/>
          </w:tcPr>
          <w:p>
            <w:r/>
            <w:r>
              <w:rPr>
                <w:rFonts w:ascii="Calibri" w:hAnsi="Calibri"/>
                <w:b w:val="0"/>
                <w:i w:val="0"/>
                <w:color w:val="1B2A32"/>
                <w:sz w:val="18"/>
              </w:rPr>
              <w:t>Grievance (cashless: 1 hr; discharge: 3 hr) → Ombudsman → consumer commission</w:t>
            </w:r>
          </w:p>
        </w:tc>
        <w:tc>
          <w:tcPr>
            <w:tcW w:type="dxa" w:w="38880"/>
            <w:shd w:val="clear" w:fill="F3F7F9"/>
          </w:tcPr>
          <w:p>
            <w:r/>
            <w:r>
              <w:rPr>
                <w:rFonts w:ascii="Calibri" w:hAnsi="Calibri"/>
                <w:b w:val="0"/>
                <w:i w:val="0"/>
                <w:color w:val="1B2A32"/>
                <w:sz w:val="18"/>
              </w:rPr>
              <w:t>Group master policyholder: civil/arbitration</w:t>
            </w:r>
          </w:p>
        </w:tc>
        <w:tc>
          <w:tcPr>
            <w:tcW w:type="dxa" w:w="34560"/>
            <w:shd w:val="clear" w:fill="F3F7F9"/>
          </w:tcPr>
          <w:p>
            <w:r/>
            <w:r>
              <w:rPr>
                <w:rFonts w:ascii="Calibri" w:hAnsi="Calibri"/>
                <w:b w:val="0"/>
                <w:i w:val="0"/>
                <w:color w:val="1B2A32"/>
                <w:sz w:val="18"/>
              </w:rPr>
              <w:t>—</w:t>
            </w:r>
          </w:p>
        </w:tc>
      </w:tr>
      <w:tr>
        <w:tc>
          <w:tcPr>
            <w:tcW w:type="dxa" w:w="27360"/>
          </w:tcPr>
          <w:p>
            <w:r/>
            <w:r>
              <w:rPr>
                <w:rFonts w:ascii="Calibri" w:hAnsi="Calibri"/>
                <w:b w:val="0"/>
                <w:i w:val="0"/>
                <w:color w:val="1B2A32"/>
                <w:sz w:val="18"/>
              </w:rPr>
              <w:t>Health (PM-JAY / State scheme)</w:t>
            </w:r>
          </w:p>
        </w:tc>
        <w:tc>
          <w:tcPr>
            <w:tcW w:type="dxa" w:w="43200"/>
          </w:tcPr>
          <w:p>
            <w:r/>
            <w:r>
              <w:rPr>
                <w:rFonts w:ascii="Calibri" w:hAnsi="Calibri"/>
                <w:b w:val="0"/>
                <w:i w:val="0"/>
                <w:color w:val="1B2A32"/>
                <w:sz w:val="18"/>
              </w:rPr>
              <w:t>Hospital → District → State → National grievance (CGRMS, 14555)</w:t>
            </w:r>
          </w:p>
        </w:tc>
        <w:tc>
          <w:tcPr>
            <w:tcW w:type="dxa" w:w="38880"/>
          </w:tcPr>
          <w:p>
            <w:r/>
            <w:r>
              <w:rPr>
                <w:rFonts w:ascii="Calibri" w:hAnsi="Calibri"/>
                <w:b w:val="0"/>
                <w:i w:val="0"/>
                <w:color w:val="1B2A32"/>
                <w:sz w:val="18"/>
              </w:rPr>
              <w:t>n/a</w:t>
            </w:r>
          </w:p>
        </w:tc>
        <w:tc>
          <w:tcPr>
            <w:tcW w:type="dxa" w:w="34560"/>
          </w:tcPr>
          <w:p>
            <w:r/>
            <w:r>
              <w:rPr>
                <w:rFonts w:ascii="Calibri" w:hAnsi="Calibri"/>
                <w:b/>
                <w:i w:val="0"/>
                <w:color w:val="1B2A32"/>
                <w:sz w:val="18"/>
              </w:rPr>
              <w:t>Scheme grievance machinery, not the Ombudsman</w:t>
            </w:r>
          </w:p>
        </w:tc>
      </w:tr>
      <w:tr>
        <w:tc>
          <w:tcPr>
            <w:tcW w:type="dxa" w:w="27360"/>
            <w:shd w:val="clear" w:fill="F3F7F9"/>
          </w:tcPr>
          <w:p>
            <w:r/>
            <w:r>
              <w:rPr>
                <w:rFonts w:ascii="Calibri" w:hAnsi="Calibri"/>
                <w:b w:val="0"/>
                <w:i w:val="0"/>
                <w:color w:val="1B2A32"/>
                <w:sz w:val="18"/>
              </w:rPr>
              <w:t>Personal accident / travel</w:t>
            </w:r>
          </w:p>
        </w:tc>
        <w:tc>
          <w:tcPr>
            <w:tcW w:type="dxa" w:w="43200"/>
            <w:shd w:val="clear" w:fill="F3F7F9"/>
          </w:tcPr>
          <w:p>
            <w:r/>
            <w:r>
              <w:rPr>
                <w:rFonts w:ascii="Calibri" w:hAnsi="Calibri"/>
                <w:b w:val="0"/>
                <w:i w:val="0"/>
                <w:color w:val="1B2A32"/>
                <w:sz w:val="18"/>
              </w:rPr>
              <w:t>Grievance → Ombudsman → consumer commission</w:t>
            </w:r>
          </w:p>
        </w:tc>
        <w:tc>
          <w:tcPr>
            <w:tcW w:type="dxa" w:w="38880"/>
            <w:shd w:val="clear" w:fill="F3F7F9"/>
          </w:tcPr>
          <w:p>
            <w:r/>
            <w:r>
              <w:rPr>
                <w:rFonts w:ascii="Calibri" w:hAnsi="Calibri"/>
                <w:b w:val="0"/>
                <w:i w:val="0"/>
                <w:color w:val="1B2A32"/>
                <w:sz w:val="18"/>
              </w:rPr>
              <w:t>Civil / arbitration</w:t>
            </w:r>
          </w:p>
        </w:tc>
        <w:tc>
          <w:tcPr>
            <w:tcW w:type="dxa" w:w="34560"/>
            <w:shd w:val="clear" w:fill="F3F7F9"/>
          </w:tcPr>
          <w:p>
            <w:r/>
            <w:r>
              <w:rPr>
                <w:rFonts w:ascii="Calibri" w:hAnsi="Calibri"/>
                <w:b w:val="0"/>
                <w:i w:val="0"/>
                <w:color w:val="1B2A32"/>
                <w:sz w:val="18"/>
              </w:rPr>
              <w:t>—</w:t>
            </w:r>
          </w:p>
        </w:tc>
      </w:tr>
      <w:tr>
        <w:tc>
          <w:tcPr>
            <w:tcW w:type="dxa" w:w="27360"/>
          </w:tcPr>
          <w:p>
            <w:r/>
            <w:r>
              <w:rPr>
                <w:rFonts w:ascii="Calibri" w:hAnsi="Calibri"/>
                <w:b w:val="0"/>
                <w:i w:val="0"/>
                <w:color w:val="1B2A32"/>
                <w:sz w:val="18"/>
              </w:rPr>
              <w:t>Motor — own damage</w:t>
            </w:r>
          </w:p>
        </w:tc>
        <w:tc>
          <w:tcPr>
            <w:tcW w:type="dxa" w:w="43200"/>
          </w:tcPr>
          <w:p>
            <w:r/>
            <w:r>
              <w:rPr>
                <w:rFonts w:ascii="Calibri" w:hAnsi="Calibri"/>
                <w:b w:val="0"/>
                <w:i w:val="0"/>
                <w:color w:val="1B2A32"/>
                <w:sz w:val="18"/>
              </w:rPr>
              <w:t>Grievance → Ombudsman → consumer commission</w:t>
            </w:r>
          </w:p>
        </w:tc>
        <w:tc>
          <w:tcPr>
            <w:tcW w:type="dxa" w:w="38880"/>
          </w:tcPr>
          <w:p>
            <w:r/>
            <w:r>
              <w:rPr>
                <w:rFonts w:ascii="Calibri" w:hAnsi="Calibri"/>
                <w:b w:val="0"/>
                <w:i w:val="0"/>
                <w:color w:val="1B2A32"/>
                <w:sz w:val="18"/>
              </w:rPr>
              <w:t>Civil / arbitration if agreed</w:t>
            </w:r>
          </w:p>
        </w:tc>
        <w:tc>
          <w:tcPr>
            <w:tcW w:type="dxa" w:w="34560"/>
          </w:tcPr>
          <w:p>
            <w:r/>
            <w:r>
              <w:rPr>
                <w:rFonts w:ascii="Calibri" w:hAnsi="Calibri"/>
                <w:b w:val="0"/>
                <w:i w:val="0"/>
                <w:color w:val="1B2A32"/>
                <w:sz w:val="18"/>
              </w:rPr>
              <w:t>—</w:t>
            </w:r>
          </w:p>
        </w:tc>
      </w:tr>
      <w:tr>
        <w:tc>
          <w:tcPr>
            <w:tcW w:type="dxa" w:w="27360"/>
            <w:shd w:val="clear" w:fill="F3F7F9"/>
          </w:tcPr>
          <w:p>
            <w:r/>
            <w:r>
              <w:rPr>
                <w:rFonts w:ascii="Calibri" w:hAnsi="Calibri"/>
                <w:b w:val="0"/>
                <w:i w:val="0"/>
                <w:color w:val="1B2A32"/>
                <w:sz w:val="18"/>
              </w:rPr>
              <w:t>Motor — third-party injury/death</w:t>
            </w:r>
          </w:p>
        </w:tc>
        <w:tc>
          <w:tcPr>
            <w:tcW w:type="dxa" w:w="43200"/>
            <w:shd w:val="clear" w:fill="F3F7F9"/>
          </w:tcPr>
          <w:p>
            <w:r/>
            <w:r>
              <w:rPr>
                <w:rFonts w:ascii="Calibri" w:hAnsi="Calibri"/>
                <w:b w:val="0"/>
                <w:i w:val="0"/>
                <w:color w:val="1B2A32"/>
                <w:sz w:val="18"/>
              </w:rPr>
              <w:t>—</w:t>
            </w:r>
          </w:p>
        </w:tc>
        <w:tc>
          <w:tcPr>
            <w:tcW w:type="dxa" w:w="38880"/>
            <w:shd w:val="clear" w:fill="F3F7F9"/>
          </w:tcPr>
          <w:p>
            <w:r/>
            <w:r>
              <w:rPr>
                <w:rFonts w:ascii="Calibri" w:hAnsi="Calibri"/>
                <w:b w:val="0"/>
                <w:i w:val="0"/>
                <w:color w:val="1B2A32"/>
                <w:sz w:val="18"/>
              </w:rPr>
              <w:t>—</w:t>
            </w:r>
          </w:p>
        </w:tc>
        <w:tc>
          <w:tcPr>
            <w:tcW w:type="dxa" w:w="34560"/>
            <w:shd w:val="clear" w:fill="F3F7F9"/>
          </w:tcPr>
          <w:p>
            <w:r/>
            <w:r>
              <w:rPr>
                <w:rFonts w:ascii="Calibri" w:hAnsi="Calibri"/>
                <w:b/>
                <w:i w:val="0"/>
                <w:color w:val="1B2A32"/>
                <w:sz w:val="18"/>
              </w:rPr>
              <w:t>Motor Accidents Claims Tribunal (MV Act)</w:t>
            </w:r>
          </w:p>
        </w:tc>
      </w:tr>
      <w:tr>
        <w:tc>
          <w:tcPr>
            <w:tcW w:type="dxa" w:w="27360"/>
          </w:tcPr>
          <w:p>
            <w:r/>
            <w:r>
              <w:rPr>
                <w:rFonts w:ascii="Calibri" w:hAnsi="Calibri"/>
                <w:b w:val="0"/>
                <w:i w:val="0"/>
                <w:color w:val="1B2A32"/>
                <w:sz w:val="18"/>
              </w:rPr>
              <w:t>Home / householder</w:t>
            </w:r>
          </w:p>
        </w:tc>
        <w:tc>
          <w:tcPr>
            <w:tcW w:type="dxa" w:w="43200"/>
          </w:tcPr>
          <w:p>
            <w:r/>
            <w:r>
              <w:rPr>
                <w:rFonts w:ascii="Calibri" w:hAnsi="Calibri"/>
                <w:b w:val="0"/>
                <w:i w:val="0"/>
                <w:color w:val="1B2A32"/>
                <w:sz w:val="18"/>
              </w:rPr>
              <w:t>Grievance → Ombudsman → consumer commission</w:t>
            </w:r>
          </w:p>
        </w:tc>
        <w:tc>
          <w:tcPr>
            <w:tcW w:type="dxa" w:w="38880"/>
          </w:tcPr>
          <w:p>
            <w:r/>
            <w:r>
              <w:rPr>
                <w:rFonts w:ascii="Calibri" w:hAnsi="Calibri"/>
                <w:b w:val="0"/>
                <w:i w:val="0"/>
                <w:color w:val="1B2A32"/>
                <w:sz w:val="18"/>
              </w:rPr>
              <w:t>n/a</w:t>
            </w:r>
          </w:p>
        </w:tc>
        <w:tc>
          <w:tcPr>
            <w:tcW w:type="dxa" w:w="34560"/>
          </w:tcPr>
          <w:p>
            <w:r/>
            <w:r>
              <w:rPr>
                <w:rFonts w:ascii="Calibri" w:hAnsi="Calibri"/>
                <w:b w:val="0"/>
                <w:i w:val="0"/>
                <w:color w:val="1B2A32"/>
                <w:sz w:val="18"/>
              </w:rPr>
              <w:t>—</w:t>
            </w:r>
          </w:p>
        </w:tc>
      </w:tr>
      <w:tr>
        <w:tc>
          <w:tcPr>
            <w:tcW w:type="dxa" w:w="27360"/>
            <w:shd w:val="clear" w:fill="F3F7F9"/>
          </w:tcPr>
          <w:p>
            <w:r/>
            <w:r>
              <w:rPr>
                <w:rFonts w:ascii="Calibri" w:hAnsi="Calibri"/>
                <w:b w:val="0"/>
                <w:i w:val="0"/>
                <w:color w:val="1B2A32"/>
                <w:sz w:val="18"/>
              </w:rPr>
              <w:t>Fire &amp; commercial property</w:t>
            </w:r>
          </w:p>
        </w:tc>
        <w:tc>
          <w:tcPr>
            <w:tcW w:type="dxa" w:w="43200"/>
            <w:shd w:val="clear" w:fill="F3F7F9"/>
          </w:tcPr>
          <w:p>
            <w:r/>
            <w:r>
              <w:rPr>
                <w:rFonts w:ascii="Calibri" w:hAnsi="Calibri"/>
                <w:b w:val="0"/>
                <w:i w:val="0"/>
                <w:color w:val="1B2A32"/>
                <w:sz w:val="18"/>
              </w:rPr>
              <w:t>n/a (rarely retail)</w:t>
            </w:r>
          </w:p>
        </w:tc>
        <w:tc>
          <w:tcPr>
            <w:tcW w:type="dxa" w:w="38880"/>
            <w:shd w:val="clear" w:fill="F3F7F9"/>
          </w:tcPr>
          <w:p>
            <w:r/>
            <w:r>
              <w:rPr>
                <w:rFonts w:ascii="Calibri" w:hAnsi="Calibri"/>
                <w:b w:val="0"/>
                <w:i w:val="0"/>
                <w:color w:val="1B2A32"/>
                <w:sz w:val="18"/>
              </w:rPr>
              <w:t>Mediation → civil / arbitration if agreed</w:t>
            </w:r>
          </w:p>
        </w:tc>
        <w:tc>
          <w:tcPr>
            <w:tcW w:type="dxa" w:w="34560"/>
            <w:shd w:val="clear" w:fill="F3F7F9"/>
          </w:tcPr>
          <w:p>
            <w:r/>
            <w:r>
              <w:rPr>
                <w:rFonts w:ascii="Calibri" w:hAnsi="Calibri"/>
                <w:b w:val="0"/>
                <w:i w:val="0"/>
                <w:color w:val="1B2A32"/>
                <w:sz w:val="18"/>
              </w:rPr>
              <w:t>—</w:t>
            </w:r>
          </w:p>
        </w:tc>
      </w:tr>
      <w:tr>
        <w:tc>
          <w:tcPr>
            <w:tcW w:type="dxa" w:w="27360"/>
          </w:tcPr>
          <w:p>
            <w:r/>
            <w:r>
              <w:rPr>
                <w:rFonts w:ascii="Calibri" w:hAnsi="Calibri"/>
                <w:b w:val="0"/>
                <w:i w:val="0"/>
                <w:color w:val="1B2A32"/>
                <w:sz w:val="18"/>
              </w:rPr>
              <w:t>Marine cargo / hull</w:t>
            </w:r>
          </w:p>
        </w:tc>
        <w:tc>
          <w:tcPr>
            <w:tcW w:type="dxa" w:w="43200"/>
          </w:tcPr>
          <w:p>
            <w:r/>
            <w:r>
              <w:rPr>
                <w:rFonts w:ascii="Calibri" w:hAnsi="Calibri"/>
                <w:b w:val="0"/>
                <w:i w:val="0"/>
                <w:color w:val="1B2A32"/>
                <w:sz w:val="18"/>
              </w:rPr>
              <w:t>n/a</w:t>
            </w:r>
          </w:p>
        </w:tc>
        <w:tc>
          <w:tcPr>
            <w:tcW w:type="dxa" w:w="38880"/>
          </w:tcPr>
          <w:p>
            <w:r/>
            <w:r>
              <w:rPr>
                <w:rFonts w:ascii="Calibri" w:hAnsi="Calibri"/>
                <w:b w:val="0"/>
                <w:i w:val="0"/>
                <w:color w:val="1B2A32"/>
                <w:sz w:val="18"/>
              </w:rPr>
              <w:t>Mediation → civil / arbitration if agreed</w:t>
            </w:r>
          </w:p>
        </w:tc>
        <w:tc>
          <w:tcPr>
            <w:tcW w:type="dxa" w:w="34560"/>
          </w:tcPr>
          <w:p>
            <w:r/>
            <w:r>
              <w:rPr>
                <w:rFonts w:ascii="Calibri" w:hAnsi="Calibri"/>
                <w:b w:val="0"/>
                <w:i w:val="0"/>
                <w:color w:val="1B2A32"/>
                <w:sz w:val="18"/>
              </w:rPr>
              <w:t>—</w:t>
            </w:r>
          </w:p>
        </w:tc>
      </w:tr>
      <w:tr>
        <w:tc>
          <w:tcPr>
            <w:tcW w:type="dxa" w:w="27360"/>
            <w:shd w:val="clear" w:fill="F3F7F9"/>
          </w:tcPr>
          <w:p>
            <w:r/>
            <w:r>
              <w:rPr>
                <w:rFonts w:ascii="Calibri" w:hAnsi="Calibri"/>
                <w:b w:val="0"/>
                <w:i w:val="0"/>
                <w:color w:val="1B2A32"/>
                <w:sz w:val="18"/>
              </w:rPr>
              <w:t>Aviation</w:t>
            </w:r>
          </w:p>
        </w:tc>
        <w:tc>
          <w:tcPr>
            <w:tcW w:type="dxa" w:w="43200"/>
            <w:shd w:val="clear" w:fill="F3F7F9"/>
          </w:tcPr>
          <w:p>
            <w:r/>
            <w:r>
              <w:rPr>
                <w:rFonts w:ascii="Calibri" w:hAnsi="Calibri"/>
                <w:b w:val="0"/>
                <w:i w:val="0"/>
                <w:color w:val="1B2A32"/>
                <w:sz w:val="18"/>
              </w:rPr>
              <w:t>n/a</w:t>
            </w:r>
          </w:p>
        </w:tc>
        <w:tc>
          <w:tcPr>
            <w:tcW w:type="dxa" w:w="38880"/>
            <w:shd w:val="clear" w:fill="F3F7F9"/>
          </w:tcPr>
          <w:p>
            <w:r/>
            <w:r>
              <w:rPr>
                <w:rFonts w:ascii="Calibri" w:hAnsi="Calibri"/>
                <w:b w:val="0"/>
                <w:i w:val="0"/>
                <w:color w:val="1B2A32"/>
                <w:sz w:val="18"/>
              </w:rPr>
              <w:t>Mediation → arbitration (usually agreed) / civil</w:t>
            </w:r>
          </w:p>
        </w:tc>
        <w:tc>
          <w:tcPr>
            <w:tcW w:type="dxa" w:w="34560"/>
            <w:shd w:val="clear" w:fill="F3F7F9"/>
          </w:tcPr>
          <w:p>
            <w:r/>
            <w:r>
              <w:rPr>
                <w:rFonts w:ascii="Calibri" w:hAnsi="Calibri"/>
                <w:b w:val="0"/>
                <w:i w:val="0"/>
                <w:color w:val="1B2A32"/>
                <w:sz w:val="18"/>
              </w:rPr>
              <w:t>—</w:t>
            </w:r>
          </w:p>
        </w:tc>
      </w:tr>
      <w:tr>
        <w:tc>
          <w:tcPr>
            <w:tcW w:type="dxa" w:w="27360"/>
          </w:tcPr>
          <w:p>
            <w:r/>
            <w:r>
              <w:rPr>
                <w:rFonts w:ascii="Calibri" w:hAnsi="Calibri"/>
                <w:b w:val="0"/>
                <w:i w:val="0"/>
                <w:color w:val="1B2A32"/>
                <w:sz w:val="18"/>
              </w:rPr>
              <w:t>Engineering (CAR/EAR)</w:t>
            </w:r>
          </w:p>
        </w:tc>
        <w:tc>
          <w:tcPr>
            <w:tcW w:type="dxa" w:w="43200"/>
          </w:tcPr>
          <w:p>
            <w:r/>
            <w:r>
              <w:rPr>
                <w:rFonts w:ascii="Calibri" w:hAnsi="Calibri"/>
                <w:b w:val="0"/>
                <w:i w:val="0"/>
                <w:color w:val="1B2A32"/>
                <w:sz w:val="18"/>
              </w:rPr>
              <w:t>n/a</w:t>
            </w:r>
          </w:p>
        </w:tc>
        <w:tc>
          <w:tcPr>
            <w:tcW w:type="dxa" w:w="38880"/>
          </w:tcPr>
          <w:p>
            <w:r/>
            <w:r>
              <w:rPr>
                <w:rFonts w:ascii="Calibri" w:hAnsi="Calibri"/>
                <w:b w:val="0"/>
                <w:i w:val="0"/>
                <w:color w:val="1B2A32"/>
                <w:sz w:val="18"/>
              </w:rPr>
              <w:t>Mediation → arbitration if agreed / civil</w:t>
            </w:r>
          </w:p>
        </w:tc>
        <w:tc>
          <w:tcPr>
            <w:tcW w:type="dxa" w:w="34560"/>
          </w:tcPr>
          <w:p>
            <w:r/>
            <w:r>
              <w:rPr>
                <w:rFonts w:ascii="Calibri" w:hAnsi="Calibri"/>
                <w:b w:val="0"/>
                <w:i w:val="0"/>
                <w:color w:val="1B2A32"/>
                <w:sz w:val="18"/>
              </w:rPr>
              <w:t>—</w:t>
            </w:r>
          </w:p>
        </w:tc>
      </w:tr>
      <w:tr>
        <w:tc>
          <w:tcPr>
            <w:tcW w:type="dxa" w:w="27360"/>
            <w:shd w:val="clear" w:fill="F3F7F9"/>
          </w:tcPr>
          <w:p>
            <w:r/>
            <w:r>
              <w:rPr>
                <w:rFonts w:ascii="Calibri" w:hAnsi="Calibri"/>
                <w:b w:val="0"/>
                <w:i w:val="0"/>
                <w:color w:val="1B2A32"/>
                <w:sz w:val="18"/>
              </w:rPr>
              <w:t>Liability (CGL/PI/D&amp;O)</w:t>
            </w:r>
          </w:p>
        </w:tc>
        <w:tc>
          <w:tcPr>
            <w:tcW w:type="dxa" w:w="43200"/>
            <w:shd w:val="clear" w:fill="F3F7F9"/>
          </w:tcPr>
          <w:p>
            <w:r/>
            <w:r>
              <w:rPr>
                <w:rFonts w:ascii="Calibri" w:hAnsi="Calibri"/>
                <w:b w:val="0"/>
                <w:i w:val="0"/>
                <w:color w:val="1B2A32"/>
                <w:sz w:val="18"/>
              </w:rPr>
              <w:t>PI for individual professionals: Ombudsman may apply</w:t>
            </w:r>
          </w:p>
        </w:tc>
        <w:tc>
          <w:tcPr>
            <w:tcW w:type="dxa" w:w="38880"/>
            <w:shd w:val="clear" w:fill="F3F7F9"/>
          </w:tcPr>
          <w:p>
            <w:r/>
            <w:r>
              <w:rPr>
                <w:rFonts w:ascii="Calibri" w:hAnsi="Calibri"/>
                <w:b w:val="0"/>
                <w:i w:val="0"/>
                <w:color w:val="1B2A32"/>
                <w:sz w:val="18"/>
              </w:rPr>
              <w:t>Mediation → arbitration if agreed / civil</w:t>
            </w:r>
          </w:p>
        </w:tc>
        <w:tc>
          <w:tcPr>
            <w:tcW w:type="dxa" w:w="34560"/>
            <w:shd w:val="clear" w:fill="F3F7F9"/>
          </w:tcPr>
          <w:p>
            <w:r/>
            <w:r>
              <w:rPr>
                <w:rFonts w:ascii="Calibri" w:hAnsi="Calibri"/>
                <w:b w:val="0"/>
                <w:i w:val="0"/>
                <w:color w:val="1B2A32"/>
                <w:sz w:val="18"/>
              </w:rPr>
              <w:t>Statutory PLI Act claims: collector/NGT where relevant</w:t>
            </w:r>
          </w:p>
        </w:tc>
      </w:tr>
      <w:tr>
        <w:tc>
          <w:tcPr>
            <w:tcW w:type="dxa" w:w="27360"/>
          </w:tcPr>
          <w:p>
            <w:r/>
            <w:r>
              <w:rPr>
                <w:rFonts w:ascii="Calibri" w:hAnsi="Calibri"/>
                <w:b w:val="0"/>
                <w:i w:val="0"/>
                <w:color w:val="1B2A32"/>
                <w:sz w:val="18"/>
              </w:rPr>
              <w:t>Cyber</w:t>
            </w:r>
          </w:p>
        </w:tc>
        <w:tc>
          <w:tcPr>
            <w:tcW w:type="dxa" w:w="43200"/>
          </w:tcPr>
          <w:p>
            <w:r/>
            <w:r>
              <w:rPr>
                <w:rFonts w:ascii="Calibri" w:hAnsi="Calibri"/>
                <w:b w:val="0"/>
                <w:i w:val="0"/>
                <w:color w:val="1B2A32"/>
                <w:sz w:val="18"/>
              </w:rPr>
              <w:t>Retail cyber: Ombudsman</w:t>
            </w:r>
          </w:p>
        </w:tc>
        <w:tc>
          <w:tcPr>
            <w:tcW w:type="dxa" w:w="38880"/>
          </w:tcPr>
          <w:p>
            <w:r/>
            <w:r>
              <w:rPr>
                <w:rFonts w:ascii="Calibri" w:hAnsi="Calibri"/>
                <w:b w:val="0"/>
                <w:i w:val="0"/>
                <w:color w:val="1B2A32"/>
                <w:sz w:val="18"/>
              </w:rPr>
              <w:t>Mediation → arbitration if agreed / civil</w:t>
            </w:r>
          </w:p>
        </w:tc>
        <w:tc>
          <w:tcPr>
            <w:tcW w:type="dxa" w:w="34560"/>
          </w:tcPr>
          <w:p>
            <w:r/>
            <w:r>
              <w:rPr>
                <w:rFonts w:ascii="Calibri" w:hAnsi="Calibri"/>
                <w:b w:val="0"/>
                <w:i w:val="0"/>
                <w:color w:val="1B2A32"/>
                <w:sz w:val="18"/>
              </w:rPr>
              <w:t>—</w:t>
            </w:r>
          </w:p>
        </w:tc>
      </w:tr>
      <w:tr>
        <w:tc>
          <w:tcPr>
            <w:tcW w:type="dxa" w:w="27360"/>
            <w:shd w:val="clear" w:fill="F3F7F9"/>
          </w:tcPr>
          <w:p>
            <w:r/>
            <w:r>
              <w:rPr>
                <w:rFonts w:ascii="Calibri" w:hAnsi="Calibri"/>
                <w:b w:val="0"/>
                <w:i w:val="0"/>
                <w:color w:val="1B2A32"/>
                <w:sz w:val="18"/>
              </w:rPr>
              <w:t>Financial lines (credit/surety/BBB)</w:t>
            </w:r>
          </w:p>
        </w:tc>
        <w:tc>
          <w:tcPr>
            <w:tcW w:type="dxa" w:w="43200"/>
            <w:shd w:val="clear" w:fill="F3F7F9"/>
          </w:tcPr>
          <w:p>
            <w:r/>
            <w:r>
              <w:rPr>
                <w:rFonts w:ascii="Calibri" w:hAnsi="Calibri"/>
                <w:b w:val="0"/>
                <w:i w:val="0"/>
                <w:color w:val="1B2A32"/>
                <w:sz w:val="18"/>
              </w:rPr>
              <w:t>n/a</w:t>
            </w:r>
          </w:p>
        </w:tc>
        <w:tc>
          <w:tcPr>
            <w:tcW w:type="dxa" w:w="38880"/>
            <w:shd w:val="clear" w:fill="F3F7F9"/>
          </w:tcPr>
          <w:p>
            <w:r/>
            <w:r>
              <w:rPr>
                <w:rFonts w:ascii="Calibri" w:hAnsi="Calibri"/>
                <w:b w:val="0"/>
                <w:i w:val="0"/>
                <w:color w:val="1B2A32"/>
                <w:sz w:val="18"/>
              </w:rPr>
              <w:t>Mediation → arbitration if agreed / civil</w:t>
            </w:r>
          </w:p>
        </w:tc>
        <w:tc>
          <w:tcPr>
            <w:tcW w:type="dxa" w:w="34560"/>
            <w:shd w:val="clear" w:fill="F3F7F9"/>
          </w:tcPr>
          <w:p>
            <w:r/>
            <w:r>
              <w:rPr>
                <w:rFonts w:ascii="Calibri" w:hAnsi="Calibri"/>
                <w:b w:val="0"/>
                <w:i w:val="0"/>
                <w:color w:val="1B2A32"/>
                <w:sz w:val="18"/>
              </w:rPr>
              <w:t>—</w:t>
            </w:r>
          </w:p>
        </w:tc>
      </w:tr>
      <w:tr>
        <w:tc>
          <w:tcPr>
            <w:tcW w:type="dxa" w:w="27360"/>
          </w:tcPr>
          <w:p>
            <w:r/>
            <w:r>
              <w:rPr>
                <w:rFonts w:ascii="Calibri" w:hAnsi="Calibri"/>
                <w:b w:val="0"/>
                <w:i w:val="0"/>
                <w:color w:val="1B2A32"/>
                <w:sz w:val="18"/>
              </w:rPr>
              <w:t>Employees' Compensation</w:t>
            </w:r>
          </w:p>
        </w:tc>
        <w:tc>
          <w:tcPr>
            <w:tcW w:type="dxa" w:w="43200"/>
          </w:tcPr>
          <w:p>
            <w:r/>
            <w:r>
              <w:rPr>
                <w:rFonts w:ascii="Calibri" w:hAnsi="Calibri"/>
                <w:b w:val="0"/>
                <w:i w:val="0"/>
                <w:color w:val="1B2A32"/>
                <w:sz w:val="18"/>
              </w:rPr>
              <w:t>—</w:t>
            </w:r>
          </w:p>
        </w:tc>
        <w:tc>
          <w:tcPr>
            <w:tcW w:type="dxa" w:w="38880"/>
          </w:tcPr>
          <w:p>
            <w:r/>
            <w:r>
              <w:rPr>
                <w:rFonts w:ascii="Calibri" w:hAnsi="Calibri"/>
                <w:b w:val="0"/>
                <w:i w:val="0"/>
                <w:color w:val="1B2A32"/>
                <w:sz w:val="18"/>
              </w:rPr>
              <w:t>—</w:t>
            </w:r>
          </w:p>
        </w:tc>
        <w:tc>
          <w:tcPr>
            <w:tcW w:type="dxa" w:w="34560"/>
          </w:tcPr>
          <w:p>
            <w:r/>
            <w:r>
              <w:rPr>
                <w:rFonts w:ascii="Calibri" w:hAnsi="Calibri"/>
                <w:b/>
                <w:i w:val="0"/>
                <w:color w:val="1B2A32"/>
                <w:sz w:val="18"/>
              </w:rPr>
              <w:t>Commissioner for Employees' Compensation</w:t>
            </w:r>
            <w:r>
              <w:rPr>
                <w:rFonts w:ascii="Calibri" w:hAnsi="Calibri"/>
                <w:b w:val="0"/>
                <w:i w:val="0"/>
                <w:color w:val="1B2A32"/>
                <w:sz w:val="18"/>
              </w:rPr>
              <w:t xml:space="preserve"> (EC Act, 1923)</w:t>
            </w:r>
          </w:p>
        </w:tc>
      </w:tr>
      <w:tr>
        <w:tc>
          <w:tcPr>
            <w:tcW w:type="dxa" w:w="27360"/>
            <w:shd w:val="clear" w:fill="F3F7F9"/>
          </w:tcPr>
          <w:p>
            <w:r/>
            <w:r>
              <w:rPr>
                <w:rFonts w:ascii="Calibri" w:hAnsi="Calibri"/>
                <w:b w:val="0"/>
                <w:i w:val="0"/>
                <w:color w:val="1B2A32"/>
                <w:sz w:val="18"/>
              </w:rPr>
              <w:t>Crop — PMFBY</w:t>
            </w:r>
          </w:p>
        </w:tc>
        <w:tc>
          <w:tcPr>
            <w:tcW w:type="dxa" w:w="43200"/>
            <w:shd w:val="clear" w:fill="F3F7F9"/>
          </w:tcPr>
          <w:p>
            <w:r/>
            <w:r>
              <w:rPr>
                <w:rFonts w:ascii="Calibri" w:hAnsi="Calibri"/>
                <w:b w:val="0"/>
                <w:i w:val="0"/>
                <w:color w:val="1B2A32"/>
                <w:sz w:val="18"/>
              </w:rPr>
              <w:t>Bank/CSC → District (DGRC) → State (SGRC, 15 days); Krishi Rakshak 14447</w:t>
            </w:r>
          </w:p>
        </w:tc>
        <w:tc>
          <w:tcPr>
            <w:tcW w:type="dxa" w:w="38880"/>
            <w:shd w:val="clear" w:fill="F3F7F9"/>
          </w:tcPr>
          <w:p>
            <w:r/>
            <w:r>
              <w:rPr>
                <w:rFonts w:ascii="Calibri" w:hAnsi="Calibri"/>
                <w:b w:val="0"/>
                <w:i w:val="0"/>
                <w:color w:val="1B2A32"/>
                <w:sz w:val="18"/>
              </w:rPr>
              <w:t>n/a</w:t>
            </w:r>
          </w:p>
        </w:tc>
        <w:tc>
          <w:tcPr>
            <w:tcW w:type="dxa" w:w="34560"/>
            <w:shd w:val="clear" w:fill="F3F7F9"/>
          </w:tcPr>
          <w:p>
            <w:r/>
            <w:r>
              <w:rPr>
                <w:rFonts w:ascii="Calibri" w:hAnsi="Calibri"/>
                <w:b/>
                <w:i w:val="0"/>
                <w:color w:val="1B2A32"/>
                <w:sz w:val="18"/>
              </w:rPr>
              <w:t>PMFBY grievance machinery</w:t>
            </w:r>
          </w:p>
        </w:tc>
      </w:tr>
      <w:tr>
        <w:tc>
          <w:tcPr>
            <w:tcW w:type="dxa" w:w="27360"/>
          </w:tcPr>
          <w:p>
            <w:r/>
            <w:r>
              <w:rPr>
                <w:rFonts w:ascii="Calibri" w:hAnsi="Calibri"/>
                <w:b w:val="0"/>
                <w:i w:val="0"/>
                <w:color w:val="1B2A32"/>
                <w:sz w:val="18"/>
              </w:rPr>
              <w:t>Cattle / rural package</w:t>
            </w:r>
          </w:p>
        </w:tc>
        <w:tc>
          <w:tcPr>
            <w:tcW w:type="dxa" w:w="43200"/>
          </w:tcPr>
          <w:p>
            <w:r/>
            <w:r>
              <w:rPr>
                <w:rFonts w:ascii="Calibri" w:hAnsi="Calibri"/>
                <w:b w:val="0"/>
                <w:i w:val="0"/>
                <w:color w:val="1B2A32"/>
                <w:sz w:val="18"/>
              </w:rPr>
              <w:t>Grievance → Ombudsman → consumer commission</w:t>
            </w:r>
          </w:p>
        </w:tc>
        <w:tc>
          <w:tcPr>
            <w:tcW w:type="dxa" w:w="38880"/>
          </w:tcPr>
          <w:p>
            <w:r/>
            <w:r>
              <w:rPr>
                <w:rFonts w:ascii="Calibri" w:hAnsi="Calibri"/>
                <w:b w:val="0"/>
                <w:i w:val="0"/>
                <w:color w:val="1B2A32"/>
                <w:sz w:val="18"/>
              </w:rPr>
              <w:t>n/a</w:t>
            </w:r>
          </w:p>
        </w:tc>
        <w:tc>
          <w:tcPr>
            <w:tcW w:type="dxa" w:w="34560"/>
          </w:tcPr>
          <w:p>
            <w:r/>
            <w:r>
              <w:rPr>
                <w:rFonts w:ascii="Calibri" w:hAnsi="Calibri"/>
                <w:b w:val="0"/>
                <w:i w:val="0"/>
                <w:color w:val="1B2A32"/>
                <w:sz w:val="18"/>
              </w:rPr>
              <w:t>—</w:t>
            </w:r>
          </w:p>
        </w:tc>
      </w:tr>
      <w:tr>
        <w:tc>
          <w:tcPr>
            <w:tcW w:type="dxa" w:w="27360"/>
            <w:shd w:val="clear" w:fill="F3F7F9"/>
          </w:tcPr>
          <w:p>
            <w:r/>
            <w:r>
              <w:rPr>
                <w:rFonts w:ascii="Calibri" w:hAnsi="Calibri"/>
                <w:b w:val="0"/>
                <w:i w:val="0"/>
                <w:color w:val="1B2A32"/>
                <w:sz w:val="18"/>
              </w:rPr>
              <w:t>Title / specialty</w:t>
            </w:r>
          </w:p>
        </w:tc>
        <w:tc>
          <w:tcPr>
            <w:tcW w:type="dxa" w:w="43200"/>
            <w:shd w:val="clear" w:fill="F3F7F9"/>
          </w:tcPr>
          <w:p>
            <w:r/>
            <w:r>
              <w:rPr>
                <w:rFonts w:ascii="Calibri" w:hAnsi="Calibri"/>
                <w:b w:val="0"/>
                <w:i w:val="0"/>
                <w:color w:val="1B2A32"/>
                <w:sz w:val="18"/>
              </w:rPr>
              <w:t>Grievance → Ombudsman → consumer commission</w:t>
            </w:r>
          </w:p>
        </w:tc>
        <w:tc>
          <w:tcPr>
            <w:tcW w:type="dxa" w:w="38880"/>
            <w:shd w:val="clear" w:fill="F3F7F9"/>
          </w:tcPr>
          <w:p>
            <w:r/>
            <w:r>
              <w:rPr>
                <w:rFonts w:ascii="Calibri" w:hAnsi="Calibri"/>
                <w:b w:val="0"/>
                <w:i w:val="0"/>
                <w:color w:val="1B2A32"/>
                <w:sz w:val="18"/>
              </w:rPr>
              <w:t>Mediation → arbitration/civil</w:t>
            </w:r>
          </w:p>
        </w:tc>
        <w:tc>
          <w:tcPr>
            <w:tcW w:type="dxa" w:w="34560"/>
            <w:shd w:val="clear" w:fill="F3F7F9"/>
          </w:tcPr>
          <w:p>
            <w:r/>
            <w:r>
              <w:rPr>
                <w:rFonts w:ascii="Calibri" w:hAnsi="Calibri"/>
                <w:b w:val="0"/>
                <w:i w:val="0"/>
                <w:color w:val="1B2A32"/>
                <w:sz w:val="18"/>
              </w:rPr>
              <w:t>—</w:t>
            </w:r>
          </w:p>
        </w:tc>
      </w:tr>
      <w:tr>
        <w:tc>
          <w:tcPr>
            <w:tcW w:type="dxa" w:w="27360"/>
          </w:tcPr>
          <w:p>
            <w:r/>
            <w:r>
              <w:rPr>
                <w:rFonts w:ascii="Calibri" w:hAnsi="Calibri"/>
                <w:b w:val="0"/>
                <w:i w:val="0"/>
                <w:color w:val="1B2A32"/>
                <w:sz w:val="18"/>
              </w:rPr>
              <w:t>Reinsurance</w:t>
            </w:r>
          </w:p>
        </w:tc>
        <w:tc>
          <w:tcPr>
            <w:tcW w:type="dxa" w:w="43200"/>
          </w:tcPr>
          <w:p>
            <w:r/>
            <w:r>
              <w:rPr>
                <w:rFonts w:ascii="Calibri" w:hAnsi="Calibri"/>
                <w:b w:val="0"/>
                <w:i w:val="0"/>
                <w:color w:val="1B2A32"/>
                <w:sz w:val="18"/>
              </w:rPr>
              <w:t>n/a</w:t>
            </w:r>
          </w:p>
        </w:tc>
        <w:tc>
          <w:tcPr>
            <w:tcW w:type="dxa" w:w="38880"/>
          </w:tcPr>
          <w:p>
            <w:r/>
            <w:r>
              <w:rPr>
                <w:rFonts w:ascii="Calibri" w:hAnsi="Calibri"/>
                <w:b/>
                <w:i w:val="0"/>
                <w:color w:val="1B2A32"/>
                <w:sz w:val="18"/>
              </w:rPr>
              <w:t>Arbitration under the treaty/facultative wording</w:t>
            </w:r>
            <w:r>
              <w:rPr>
                <w:rFonts w:ascii="Calibri" w:hAnsi="Calibri"/>
                <w:b w:val="0"/>
                <w:i w:val="0"/>
                <w:color w:val="1B2A32"/>
                <w:sz w:val="18"/>
              </w:rPr>
              <w:t xml:space="preserve"> → civil</w:t>
            </w:r>
          </w:p>
        </w:tc>
        <w:tc>
          <w:tcPr>
            <w:tcW w:type="dxa" w:w="34560"/>
          </w:tcPr>
          <w:p>
            <w:r/>
            <w:r>
              <w:rPr>
                <w:rFonts w:ascii="Calibri" w:hAnsi="Calibri"/>
                <w:b w:val="0"/>
                <w:i w:val="0"/>
                <w:color w:val="1B2A32"/>
                <w:sz w:val="18"/>
              </w:rPr>
              <w:t>—</w:t>
            </w:r>
          </w:p>
        </w:tc>
      </w:tr>
    </w:tbl>
    <w:p>
      <w:pPr>
        <w:spacing w:after="40"/>
      </w:pPr>
    </w:p>
    <w:tbl>
      <w:tblPr>
        <w:tblW w:type="auto" w:w="0"/>
        <w:jc w:val="center"/>
        <w:tblLook w:firstColumn="1" w:firstRow="1" w:lastColumn="0" w:lastRow="0" w:noHBand="0" w:noVBand="1" w:val="04A0"/>
      </w:tblPr>
      <w:tblGrid>
        <w:gridCol w:w="9504"/>
      </w:tblGrid>
      <w:tr>
        <w:tc>
          <w:tcPr>
            <w:tcW w:type="dxa" w:w="9360"/>
            <w:shd w:val="clear" w:fill="DCEAEF"/>
            <w:tcBorders>
              <w:start w:val="single" w:sz="22" w:space="0" w:color="1E7A8C"/>
            </w:tcBorders>
          </w:tcPr>
          <w:p>
            <w:r>
              <w:rPr>
                <w:rFonts w:ascii="Calibri" w:hAnsi="Calibri"/>
                <w:b/>
                <w:i w:val="0"/>
                <w:color w:val="123B4F"/>
                <w:sz w:val="18"/>
              </w:rPr>
              <w:t>READING THE MATRIX</w:t>
            </w:r>
          </w:p>
          <w:p>
            <w:r>
              <w:rPr>
                <w:rFonts w:ascii="Calibri" w:hAnsi="Calibri"/>
                <w:b w:val="0"/>
                <w:i w:val="0"/>
                <w:color w:val="1B2A32"/>
                <w:sz w:val="19"/>
              </w:rPr>
              <w:t xml:space="preserve">Three special forums displace the ordinary routes entirely and must be recognised at triage: </w:t>
            </w:r>
            <w:r>
              <w:rPr>
                <w:rFonts w:ascii="Calibri" w:hAnsi="Calibri"/>
                <w:b/>
                <w:i w:val="0"/>
                <w:color w:val="1B2A32"/>
                <w:sz w:val="19"/>
              </w:rPr>
              <w:t>third-party motor</w:t>
            </w:r>
            <w:r>
              <w:rPr>
                <w:rFonts w:ascii="Calibri" w:hAnsi="Calibri"/>
                <w:b w:val="0"/>
                <w:i w:val="0"/>
                <w:color w:val="1B2A32"/>
                <w:sz w:val="19"/>
              </w:rPr>
              <w:t xml:space="preserve"> goes to the Motor Accidents Claims Tribunal; </w:t>
            </w:r>
            <w:r>
              <w:rPr>
                <w:rFonts w:ascii="Calibri" w:hAnsi="Calibri"/>
                <w:b/>
                <w:i w:val="0"/>
                <w:color w:val="1B2A32"/>
                <w:sz w:val="19"/>
              </w:rPr>
              <w:t>Employees' Compensation</w:t>
            </w:r>
            <w:r>
              <w:rPr>
                <w:rFonts w:ascii="Calibri" w:hAnsi="Calibri"/>
                <w:b w:val="0"/>
                <w:i w:val="0"/>
                <w:color w:val="1B2A32"/>
                <w:sz w:val="19"/>
              </w:rPr>
              <w:t xml:space="preserve"> goes to the Commissioner; and </w:t>
            </w:r>
            <w:r>
              <w:rPr>
                <w:rFonts w:ascii="Calibri" w:hAnsi="Calibri"/>
                <w:b/>
                <w:i w:val="0"/>
                <w:color w:val="1B2A32"/>
                <w:sz w:val="19"/>
              </w:rPr>
              <w:t>government health and crop schemes</w:t>
            </w:r>
            <w:r>
              <w:rPr>
                <w:rFonts w:ascii="Calibri" w:hAnsi="Calibri"/>
                <w:b w:val="0"/>
                <w:i w:val="0"/>
                <w:color w:val="1B2A32"/>
                <w:sz w:val="19"/>
              </w:rPr>
              <w:t xml:space="preserve"> run their own statutory grievance ladders, not the Insurance Ombudsman. Getting any of these wrong sends a party to a forum that cannot help them.</w:t>
            </w:r>
          </w:p>
        </w:tc>
      </w:tr>
    </w:tbl>
    <w:p>
      <w:pPr>
        <w:spacing w:after="40"/>
      </w:pPr>
    </w:p>
    <w:p>
      <w:pPr>
        <w:keepNext/>
        <w:spacing w:before="200" w:after="60"/>
      </w:pPr>
      <w:r>
        <w:rPr>
          <w:rFonts w:ascii="Calibri" w:hAnsi="Calibri"/>
          <w:b/>
          <w:i w:val="0"/>
          <w:color w:val="1E7A8C"/>
          <w:sz w:val="25"/>
        </w:rPr>
        <w:t>2.2  2.2  Mediability matrix — what settles, and why</w:t>
      </w:r>
    </w:p>
    <w:tbl>
      <w:tblPr>
        <w:tblStyle w:val="TableGrid"/>
        <w:tblW w:type="auto" w:w="0"/>
        <w:jc w:val="center"/>
        <w:tblLook w:firstColumn="1" w:firstRow="1" w:lastColumn="0" w:lastRow="0" w:noHBand="0" w:noVBand="1" w:val="04A0"/>
      </w:tblPr>
      <w:tblGrid>
        <w:gridCol w:w="3168"/>
        <w:gridCol w:w="3168"/>
        <w:gridCol w:w="3168"/>
      </w:tblGrid>
      <w:tr>
        <w:tc>
          <w:tcPr>
            <w:tcW w:type="dxa" w:w="43200"/>
            <w:shd w:val="clear" w:fill="123B4F"/>
          </w:tcPr>
          <w:p>
            <w:r/>
            <w:r>
              <w:rPr>
                <w:rFonts w:ascii="Calibri" w:hAnsi="Calibri"/>
                <w:b/>
                <w:i w:val="0"/>
                <w:color w:val="FFFFFF"/>
                <w:sz w:val="18"/>
              </w:rPr>
              <w:t>Dispute type</w:t>
            </w:r>
          </w:p>
        </w:tc>
        <w:tc>
          <w:tcPr>
            <w:tcW w:type="dxa" w:w="23040"/>
            <w:shd w:val="clear" w:fill="123B4F"/>
          </w:tcPr>
          <w:p>
            <w:r/>
            <w:r>
              <w:rPr>
                <w:rFonts w:ascii="Calibri" w:hAnsi="Calibri"/>
                <w:b/>
                <w:i w:val="0"/>
                <w:color w:val="FFFFFF"/>
                <w:sz w:val="18"/>
              </w:rPr>
              <w:t>Mediable?</w:t>
            </w:r>
          </w:p>
        </w:tc>
        <w:tc>
          <w:tcPr>
            <w:tcW w:type="dxa" w:w="77760"/>
            <w:shd w:val="clear" w:fill="123B4F"/>
          </w:tcPr>
          <w:p>
            <w:r/>
            <w:r>
              <w:rPr>
                <w:rFonts w:ascii="Calibri" w:hAnsi="Calibri"/>
                <w:b/>
                <w:i w:val="0"/>
                <w:color w:val="FFFFFF"/>
                <w:sz w:val="18"/>
              </w:rPr>
              <w:t>Why / the lever that moves it</w:t>
            </w:r>
          </w:p>
        </w:tc>
      </w:tr>
      <w:tr>
        <w:tc>
          <w:tcPr>
            <w:tcW w:type="dxa" w:w="43200"/>
          </w:tcPr>
          <w:p>
            <w:r/>
            <w:r>
              <w:rPr>
                <w:rFonts w:ascii="Calibri" w:hAnsi="Calibri"/>
                <w:b w:val="0"/>
                <w:i w:val="0"/>
                <w:color w:val="1B2A32"/>
                <w:sz w:val="18"/>
              </w:rPr>
              <w:t>Short settlement / deduction stack</w:t>
            </w:r>
          </w:p>
        </w:tc>
        <w:tc>
          <w:tcPr>
            <w:tcW w:type="dxa" w:w="23040"/>
          </w:tcPr>
          <w:p>
            <w:r/>
            <w:r>
              <w:rPr>
                <w:rFonts w:ascii="Calibri" w:hAnsi="Calibri"/>
                <w:b w:val="0"/>
                <w:i w:val="0"/>
                <w:color w:val="1B2A32"/>
                <w:sz w:val="18"/>
              </w:rPr>
              <w:t>High</w:t>
            </w:r>
          </w:p>
        </w:tc>
        <w:tc>
          <w:tcPr>
            <w:tcW w:type="dxa" w:w="77760"/>
          </w:tcPr>
          <w:p>
            <w:r/>
            <w:r>
              <w:rPr>
                <w:rFonts w:ascii="Calibri" w:hAnsi="Calibri"/>
                <w:b w:val="0"/>
                <w:i w:val="0"/>
                <w:color w:val="1B2A32"/>
                <w:sz w:val="18"/>
              </w:rPr>
              <w:t>Each deduction is separately arguable; the line-item schedule narrows without argument</w:t>
            </w:r>
          </w:p>
        </w:tc>
      </w:tr>
      <w:tr>
        <w:tc>
          <w:tcPr>
            <w:tcW w:type="dxa" w:w="43200"/>
            <w:shd w:val="clear" w:fill="F3F7F9"/>
          </w:tcPr>
          <w:p>
            <w:r/>
            <w:r>
              <w:rPr>
                <w:rFonts w:ascii="Calibri" w:hAnsi="Calibri"/>
                <w:b w:val="0"/>
                <w:i w:val="0"/>
                <w:color w:val="1B2A32"/>
                <w:sz w:val="18"/>
              </w:rPr>
              <w:t>Delay in payment</w:t>
            </w:r>
          </w:p>
        </w:tc>
        <w:tc>
          <w:tcPr>
            <w:tcW w:type="dxa" w:w="23040"/>
            <w:shd w:val="clear" w:fill="F3F7F9"/>
          </w:tcPr>
          <w:p>
            <w:r/>
            <w:r>
              <w:rPr>
                <w:rFonts w:ascii="Calibri" w:hAnsi="Calibri"/>
                <w:b w:val="0"/>
                <w:i w:val="0"/>
                <w:color w:val="1B2A32"/>
                <w:sz w:val="18"/>
              </w:rPr>
              <w:t>High</w:t>
            </w:r>
          </w:p>
        </w:tc>
        <w:tc>
          <w:tcPr>
            <w:tcW w:type="dxa" w:w="77760"/>
            <w:shd w:val="clear" w:fill="F3F7F9"/>
          </w:tcPr>
          <w:p>
            <w:r/>
            <w:r>
              <w:rPr>
                <w:rFonts w:ascii="Calibri" w:hAnsi="Calibri"/>
                <w:b w:val="0"/>
                <w:i w:val="0"/>
                <w:color w:val="1B2A32"/>
                <w:sz w:val="18"/>
              </w:rPr>
              <w:t>Interest under the IRDAI turnaround-time regime is a cheap concession for the insurer and a real win for the party</w:t>
            </w:r>
          </w:p>
        </w:tc>
      </w:tr>
      <w:tr>
        <w:tc>
          <w:tcPr>
            <w:tcW w:type="dxa" w:w="43200"/>
          </w:tcPr>
          <w:p>
            <w:r/>
            <w:r>
              <w:rPr>
                <w:rFonts w:ascii="Calibri" w:hAnsi="Calibri"/>
                <w:b w:val="0"/>
                <w:i w:val="0"/>
                <w:color w:val="1B2A32"/>
                <w:sz w:val="18"/>
              </w:rPr>
              <w:t>Non-disclosure (life)</w:t>
            </w:r>
          </w:p>
        </w:tc>
        <w:tc>
          <w:tcPr>
            <w:tcW w:type="dxa" w:w="23040"/>
          </w:tcPr>
          <w:p>
            <w:r/>
            <w:r>
              <w:rPr>
                <w:rFonts w:ascii="Calibri" w:hAnsi="Calibri"/>
                <w:b w:val="0"/>
                <w:i w:val="0"/>
                <w:color w:val="1B2A32"/>
                <w:sz w:val="18"/>
              </w:rPr>
              <w:t>High</w:t>
            </w:r>
          </w:p>
        </w:tc>
        <w:tc>
          <w:tcPr>
            <w:tcW w:type="dxa" w:w="77760"/>
          </w:tcPr>
          <w:p>
            <w:r/>
            <w:r>
              <w:rPr>
                <w:rFonts w:ascii="Calibri" w:hAnsi="Calibri"/>
                <w:b w:val="0"/>
                <w:i w:val="0"/>
                <w:color w:val="1B2A32"/>
                <w:sz w:val="18"/>
              </w:rPr>
              <w:t>The section 45 timeline and materiality are both contestable; insurers often prefer a negotiated outcome to an adverse award</w:t>
            </w:r>
          </w:p>
        </w:tc>
      </w:tr>
      <w:tr>
        <w:tc>
          <w:tcPr>
            <w:tcW w:type="dxa" w:w="43200"/>
            <w:shd w:val="clear" w:fill="F3F7F9"/>
          </w:tcPr>
          <w:p>
            <w:r/>
            <w:r>
              <w:rPr>
                <w:rFonts w:ascii="Calibri" w:hAnsi="Calibri"/>
                <w:b w:val="0"/>
                <w:i w:val="0"/>
                <w:color w:val="1B2A32"/>
                <w:sz w:val="18"/>
              </w:rPr>
              <w:t>Pre-existing disease / waiting period</w:t>
            </w:r>
          </w:p>
        </w:tc>
        <w:tc>
          <w:tcPr>
            <w:tcW w:type="dxa" w:w="23040"/>
            <w:shd w:val="clear" w:fill="F3F7F9"/>
          </w:tcPr>
          <w:p>
            <w:r/>
            <w:r>
              <w:rPr>
                <w:rFonts w:ascii="Calibri" w:hAnsi="Calibri"/>
                <w:b w:val="0"/>
                <w:i w:val="0"/>
                <w:color w:val="1B2A32"/>
                <w:sz w:val="18"/>
              </w:rPr>
              <w:t>High</w:t>
            </w:r>
          </w:p>
        </w:tc>
        <w:tc>
          <w:tcPr>
            <w:tcW w:type="dxa" w:w="77760"/>
            <w:shd w:val="clear" w:fill="F3F7F9"/>
          </w:tcPr>
          <w:p>
            <w:r/>
            <w:r>
              <w:rPr>
                <w:rFonts w:ascii="Calibri" w:hAnsi="Calibri"/>
                <w:b w:val="0"/>
                <w:i w:val="0"/>
                <w:color w:val="1B2A32"/>
                <w:sz w:val="18"/>
              </w:rPr>
              <w:t>Continuity and portability credit are objectively checkable — records, not law</w:t>
            </w:r>
          </w:p>
        </w:tc>
      </w:tr>
      <w:tr>
        <w:tc>
          <w:tcPr>
            <w:tcW w:type="dxa" w:w="43200"/>
          </w:tcPr>
          <w:p>
            <w:r/>
            <w:r>
              <w:rPr>
                <w:rFonts w:ascii="Calibri" w:hAnsi="Calibri"/>
                <w:b w:val="0"/>
                <w:i w:val="0"/>
                <w:color w:val="1B2A32"/>
                <w:sz w:val="18"/>
              </w:rPr>
              <w:t>Underinsurance / average</w:t>
            </w:r>
          </w:p>
        </w:tc>
        <w:tc>
          <w:tcPr>
            <w:tcW w:type="dxa" w:w="23040"/>
          </w:tcPr>
          <w:p>
            <w:r/>
            <w:r>
              <w:rPr>
                <w:rFonts w:ascii="Calibri" w:hAnsi="Calibri"/>
                <w:b w:val="0"/>
                <w:i w:val="0"/>
                <w:color w:val="1B2A32"/>
                <w:sz w:val="18"/>
              </w:rPr>
              <w:t>High</w:t>
            </w:r>
          </w:p>
        </w:tc>
        <w:tc>
          <w:tcPr>
            <w:tcW w:type="dxa" w:w="77760"/>
          </w:tcPr>
          <w:p>
            <w:r/>
            <w:r>
              <w:rPr>
                <w:rFonts w:ascii="Calibri" w:hAnsi="Calibri"/>
                <w:b w:val="0"/>
                <w:i w:val="0"/>
                <w:color w:val="1B2A32"/>
                <w:sz w:val="18"/>
              </w:rPr>
              <w:t>The valuation basis is arguable and the broker often contributes</w:t>
            </w:r>
          </w:p>
        </w:tc>
      </w:tr>
      <w:tr>
        <w:tc>
          <w:tcPr>
            <w:tcW w:type="dxa" w:w="43200"/>
            <w:shd w:val="clear" w:fill="F3F7F9"/>
          </w:tcPr>
          <w:p>
            <w:r/>
            <w:r>
              <w:rPr>
                <w:rFonts w:ascii="Calibri" w:hAnsi="Calibri"/>
                <w:b w:val="0"/>
                <w:i w:val="0"/>
                <w:color w:val="1B2A32"/>
                <w:sz w:val="18"/>
              </w:rPr>
              <w:t>Quantum / survey dispute</w:t>
            </w:r>
          </w:p>
        </w:tc>
        <w:tc>
          <w:tcPr>
            <w:tcW w:type="dxa" w:w="23040"/>
            <w:shd w:val="clear" w:fill="F3F7F9"/>
          </w:tcPr>
          <w:p>
            <w:r/>
            <w:r>
              <w:rPr>
                <w:rFonts w:ascii="Calibri" w:hAnsi="Calibri"/>
                <w:b w:val="0"/>
                <w:i w:val="0"/>
                <w:color w:val="1B2A32"/>
                <w:sz w:val="18"/>
              </w:rPr>
              <w:t>High</w:t>
            </w:r>
          </w:p>
        </w:tc>
        <w:tc>
          <w:tcPr>
            <w:tcW w:type="dxa" w:w="77760"/>
            <w:shd w:val="clear" w:fill="F3F7F9"/>
          </w:tcPr>
          <w:p>
            <w:r/>
            <w:r>
              <w:rPr>
                <w:rFonts w:ascii="Calibri" w:hAnsi="Calibri"/>
                <w:b w:val="0"/>
                <w:i w:val="0"/>
                <w:color w:val="1B2A32"/>
                <w:sz w:val="18"/>
              </w:rPr>
              <w:t>Two professional assessments and a number in between</w:t>
            </w:r>
          </w:p>
        </w:tc>
      </w:tr>
      <w:tr>
        <w:tc>
          <w:tcPr>
            <w:tcW w:type="dxa" w:w="43200"/>
          </w:tcPr>
          <w:p>
            <w:r/>
            <w:r>
              <w:rPr>
                <w:rFonts w:ascii="Calibri" w:hAnsi="Calibri"/>
                <w:b w:val="0"/>
                <w:i w:val="0"/>
                <w:color w:val="1B2A32"/>
                <w:sz w:val="18"/>
              </w:rPr>
              <w:t>Condition/warranty breach (motor, commercial)</w:t>
            </w:r>
          </w:p>
        </w:tc>
        <w:tc>
          <w:tcPr>
            <w:tcW w:type="dxa" w:w="23040"/>
          </w:tcPr>
          <w:p>
            <w:r/>
            <w:r>
              <w:rPr>
                <w:rFonts w:ascii="Calibri" w:hAnsi="Calibri"/>
                <w:b w:val="0"/>
                <w:i w:val="0"/>
                <w:color w:val="1B2A32"/>
                <w:sz w:val="18"/>
              </w:rPr>
              <w:t>High</w:t>
            </w:r>
          </w:p>
        </w:tc>
        <w:tc>
          <w:tcPr>
            <w:tcW w:type="dxa" w:w="77760"/>
          </w:tcPr>
          <w:p>
            <w:r/>
            <w:r>
              <w:rPr>
                <w:rFonts w:ascii="Calibri" w:hAnsi="Calibri"/>
                <w:b w:val="0"/>
                <w:i w:val="0"/>
                <w:color w:val="1B2A32"/>
                <w:sz w:val="18"/>
              </w:rPr>
              <w:t>Non-standard settlement at a percentage of the assessed loss is established practice (Amalendu Sahoo; Nitin Khandelwal)</w:t>
            </w:r>
          </w:p>
        </w:tc>
      </w:tr>
      <w:tr>
        <w:tc>
          <w:tcPr>
            <w:tcW w:type="dxa" w:w="43200"/>
            <w:shd w:val="clear" w:fill="F3F7F9"/>
          </w:tcPr>
          <w:p>
            <w:r/>
            <w:r>
              <w:rPr>
                <w:rFonts w:ascii="Calibri" w:hAnsi="Calibri"/>
                <w:b w:val="0"/>
                <w:i w:val="0"/>
                <w:color w:val="1B2A32"/>
                <w:sz w:val="18"/>
              </w:rPr>
              <w:t>Mis-selling</w:t>
            </w:r>
          </w:p>
        </w:tc>
        <w:tc>
          <w:tcPr>
            <w:tcW w:type="dxa" w:w="23040"/>
            <w:shd w:val="clear" w:fill="F3F7F9"/>
          </w:tcPr>
          <w:p>
            <w:r/>
            <w:r>
              <w:rPr>
                <w:rFonts w:ascii="Calibri" w:hAnsi="Calibri"/>
                <w:b w:val="0"/>
                <w:i w:val="0"/>
                <w:color w:val="1B2A32"/>
                <w:sz w:val="18"/>
              </w:rPr>
              <w:t>High</w:t>
            </w:r>
          </w:p>
        </w:tc>
        <w:tc>
          <w:tcPr>
            <w:tcW w:type="dxa" w:w="77760"/>
            <w:shd w:val="clear" w:fill="F3F7F9"/>
          </w:tcPr>
          <w:p>
            <w:r/>
            <w:r>
              <w:rPr>
                <w:rFonts w:ascii="Calibri" w:hAnsi="Calibri"/>
                <w:b w:val="0"/>
                <w:i w:val="0"/>
                <w:color w:val="1B2A32"/>
                <w:sz w:val="18"/>
              </w:rPr>
              <w:t>Refund, conversion, waiver and substitution are all available; reputational exposure motivates the insurer</w:t>
            </w:r>
          </w:p>
        </w:tc>
      </w:tr>
      <w:tr>
        <w:tc>
          <w:tcPr>
            <w:tcW w:type="dxa" w:w="43200"/>
          </w:tcPr>
          <w:p>
            <w:r/>
            <w:r>
              <w:rPr>
                <w:rFonts w:ascii="Calibri" w:hAnsi="Calibri"/>
                <w:b w:val="0"/>
                <w:i w:val="0"/>
                <w:color w:val="1B2A32"/>
                <w:sz w:val="18"/>
              </w:rPr>
              <w:t>Nomination / heirship contest</w:t>
            </w:r>
          </w:p>
        </w:tc>
        <w:tc>
          <w:tcPr>
            <w:tcW w:type="dxa" w:w="23040"/>
          </w:tcPr>
          <w:p>
            <w:r/>
            <w:r>
              <w:rPr>
                <w:rFonts w:ascii="Calibri" w:hAnsi="Calibri"/>
                <w:b w:val="0"/>
                <w:i w:val="0"/>
                <w:color w:val="1B2A32"/>
                <w:sz w:val="18"/>
              </w:rPr>
              <w:t>High</w:t>
            </w:r>
          </w:p>
        </w:tc>
        <w:tc>
          <w:tcPr>
            <w:tcW w:type="dxa" w:w="77760"/>
          </w:tcPr>
          <w:p>
            <w:r/>
            <w:r>
              <w:rPr>
                <w:rFonts w:ascii="Calibri" w:hAnsi="Calibri"/>
                <w:b w:val="0"/>
                <w:i w:val="0"/>
                <w:color w:val="1B2A32"/>
                <w:sz w:val="18"/>
              </w:rPr>
              <w:t>Not a dispute with the insurer at all — pure mediation; the insurer interpleads into escrow</w:t>
            </w:r>
          </w:p>
        </w:tc>
      </w:tr>
      <w:tr>
        <w:tc>
          <w:tcPr>
            <w:tcW w:type="dxa" w:w="43200"/>
            <w:shd w:val="clear" w:fill="F3F7F9"/>
          </w:tcPr>
          <w:p>
            <w:r/>
            <w:r>
              <w:rPr>
                <w:rFonts w:ascii="Calibri" w:hAnsi="Calibri"/>
                <w:b w:val="0"/>
                <w:i w:val="0"/>
                <w:color w:val="1B2A32"/>
                <w:sz w:val="18"/>
              </w:rPr>
              <w:t>Contribution (double insurance)</w:t>
            </w:r>
          </w:p>
        </w:tc>
        <w:tc>
          <w:tcPr>
            <w:tcW w:type="dxa" w:w="23040"/>
            <w:shd w:val="clear" w:fill="F3F7F9"/>
          </w:tcPr>
          <w:p>
            <w:r/>
            <w:r>
              <w:rPr>
                <w:rFonts w:ascii="Calibri" w:hAnsi="Calibri"/>
                <w:b w:val="0"/>
                <w:i w:val="0"/>
                <w:color w:val="1B2A32"/>
                <w:sz w:val="18"/>
              </w:rPr>
              <w:t>Medium</w:t>
            </w:r>
          </w:p>
        </w:tc>
        <w:tc>
          <w:tcPr>
            <w:tcW w:type="dxa" w:w="77760"/>
            <w:shd w:val="clear" w:fill="F3F7F9"/>
          </w:tcPr>
          <w:p>
            <w:r/>
            <w:r>
              <w:rPr>
                <w:rFonts w:ascii="Calibri" w:hAnsi="Calibri"/>
                <w:b w:val="0"/>
                <w:i w:val="0"/>
                <w:color w:val="1B2A32"/>
                <w:sz w:val="18"/>
              </w:rPr>
              <w:t>A three-way mediation among the insurers apportions the loss; the insured is made whole first</w:t>
            </w:r>
          </w:p>
        </w:tc>
      </w:tr>
      <w:tr>
        <w:tc>
          <w:tcPr>
            <w:tcW w:type="dxa" w:w="43200"/>
          </w:tcPr>
          <w:p>
            <w:r/>
            <w:r>
              <w:rPr>
                <w:rFonts w:ascii="Calibri" w:hAnsi="Calibri"/>
                <w:b w:val="0"/>
                <w:i w:val="0"/>
                <w:color w:val="1B2A32"/>
                <w:sz w:val="18"/>
              </w:rPr>
              <w:t>Coverage / proximate cause</w:t>
            </w:r>
          </w:p>
        </w:tc>
        <w:tc>
          <w:tcPr>
            <w:tcW w:type="dxa" w:w="23040"/>
          </w:tcPr>
          <w:p>
            <w:r/>
            <w:r>
              <w:rPr>
                <w:rFonts w:ascii="Calibri" w:hAnsi="Calibri"/>
                <w:b w:val="0"/>
                <w:i w:val="0"/>
                <w:color w:val="1B2A32"/>
                <w:sz w:val="18"/>
              </w:rPr>
              <w:t>Medium</w:t>
            </w:r>
          </w:p>
        </w:tc>
        <w:tc>
          <w:tcPr>
            <w:tcW w:type="dxa" w:w="77760"/>
          </w:tcPr>
          <w:p>
            <w:r/>
            <w:r>
              <w:rPr>
                <w:rFonts w:ascii="Calibri" w:hAnsi="Calibri"/>
                <w:b w:val="0"/>
                <w:i w:val="0"/>
                <w:color w:val="1B2A32"/>
                <w:sz w:val="18"/>
              </w:rPr>
              <w:t>Genuine construction disputes; contra proferentem assists the insured, so a split is often reachable</w:t>
            </w:r>
          </w:p>
        </w:tc>
      </w:tr>
      <w:tr>
        <w:tc>
          <w:tcPr>
            <w:tcW w:type="dxa" w:w="43200"/>
            <w:shd w:val="clear" w:fill="F3F7F9"/>
          </w:tcPr>
          <w:p>
            <w:r/>
            <w:r>
              <w:rPr>
                <w:rFonts w:ascii="Calibri" w:hAnsi="Calibri"/>
                <w:b w:val="0"/>
                <w:i w:val="0"/>
                <w:color w:val="1B2A32"/>
                <w:sz w:val="18"/>
              </w:rPr>
              <w:t>Exclusion (war/terror/nuclear/pandemic)</w:t>
            </w:r>
          </w:p>
        </w:tc>
        <w:tc>
          <w:tcPr>
            <w:tcW w:type="dxa" w:w="23040"/>
            <w:shd w:val="clear" w:fill="F3F7F9"/>
          </w:tcPr>
          <w:p>
            <w:r/>
            <w:r>
              <w:rPr>
                <w:rFonts w:ascii="Calibri" w:hAnsi="Calibri"/>
                <w:b w:val="0"/>
                <w:i w:val="0"/>
                <w:color w:val="1B2A32"/>
                <w:sz w:val="18"/>
              </w:rPr>
              <w:t>Low–Medium</w:t>
            </w:r>
          </w:p>
        </w:tc>
        <w:tc>
          <w:tcPr>
            <w:tcW w:type="dxa" w:w="77760"/>
            <w:shd w:val="clear" w:fill="F3F7F9"/>
          </w:tcPr>
          <w:p>
            <w:r/>
            <w:r>
              <w:rPr>
                <w:rFonts w:ascii="Calibri" w:hAnsi="Calibri"/>
                <w:b w:val="0"/>
                <w:i w:val="0"/>
                <w:color w:val="1B2A32"/>
                <w:sz w:val="18"/>
              </w:rPr>
              <w:t>Often binary; mediation works only where the wording is ambiguous or the trigger contested</w:t>
            </w:r>
          </w:p>
        </w:tc>
      </w:tr>
      <w:tr>
        <w:tc>
          <w:tcPr>
            <w:tcW w:type="dxa" w:w="43200"/>
          </w:tcPr>
          <w:p>
            <w:r/>
            <w:r>
              <w:rPr>
                <w:rFonts w:ascii="Calibri" w:hAnsi="Calibri"/>
                <w:b w:val="0"/>
                <w:i w:val="0"/>
                <w:color w:val="1B2A32"/>
                <w:sz w:val="18"/>
              </w:rPr>
              <w:t>Fraud / fabricated documents</w:t>
            </w:r>
          </w:p>
        </w:tc>
        <w:tc>
          <w:tcPr>
            <w:tcW w:type="dxa" w:w="23040"/>
          </w:tcPr>
          <w:p>
            <w:r/>
            <w:r>
              <w:rPr>
                <w:rFonts w:ascii="Calibri" w:hAnsi="Calibri"/>
                <w:b w:val="0"/>
                <w:i w:val="0"/>
                <w:color w:val="1B2A32"/>
                <w:sz w:val="18"/>
              </w:rPr>
              <w:t>No</w:t>
            </w:r>
          </w:p>
        </w:tc>
        <w:tc>
          <w:tcPr>
            <w:tcW w:type="dxa" w:w="77760"/>
          </w:tcPr>
          <w:p>
            <w:r/>
            <w:r>
              <w:rPr>
                <w:rFonts w:ascii="Calibri" w:hAnsi="Calibri"/>
                <w:b w:val="0"/>
                <w:i w:val="0"/>
                <w:color w:val="1B2A32"/>
                <w:sz w:val="18"/>
              </w:rPr>
              <w:t>Not mediated — investigated or litigated; Equator mediates only the consequences on express joint request</w:t>
            </w:r>
          </w:p>
        </w:tc>
      </w:tr>
      <w:tr>
        <w:tc>
          <w:tcPr>
            <w:tcW w:type="dxa" w:w="43200"/>
            <w:shd w:val="clear" w:fill="F3F7F9"/>
          </w:tcPr>
          <w:p>
            <w:r/>
            <w:r>
              <w:rPr>
                <w:rFonts w:ascii="Calibri" w:hAnsi="Calibri"/>
                <w:b w:val="0"/>
                <w:i w:val="0"/>
                <w:color w:val="1B2A32"/>
                <w:sz w:val="18"/>
              </w:rPr>
              <w:t>Third-party motor injury/death</w:t>
            </w:r>
          </w:p>
        </w:tc>
        <w:tc>
          <w:tcPr>
            <w:tcW w:type="dxa" w:w="23040"/>
            <w:shd w:val="clear" w:fill="F3F7F9"/>
          </w:tcPr>
          <w:p>
            <w:r/>
            <w:r>
              <w:rPr>
                <w:rFonts w:ascii="Calibri" w:hAnsi="Calibri"/>
                <w:b w:val="0"/>
                <w:i w:val="0"/>
                <w:color w:val="1B2A32"/>
                <w:sz w:val="18"/>
              </w:rPr>
              <w:t>Quantum only</w:t>
            </w:r>
          </w:p>
        </w:tc>
        <w:tc>
          <w:tcPr>
            <w:tcW w:type="dxa" w:w="77760"/>
            <w:shd w:val="clear" w:fill="F3F7F9"/>
          </w:tcPr>
          <w:p>
            <w:r/>
            <w:r>
              <w:rPr>
                <w:rFonts w:ascii="Calibri" w:hAnsi="Calibri"/>
                <w:b w:val="0"/>
                <w:i w:val="0"/>
                <w:color w:val="1B2A32"/>
                <w:sz w:val="18"/>
              </w:rPr>
              <w:t>The MACT decides the claim; mediation of quantum only with the tribunal's and parties' consent</w:t>
            </w:r>
          </w:p>
        </w:tc>
      </w:tr>
    </w:tbl>
    <w:p>
      <w:pPr>
        <w:spacing w:after="40"/>
      </w:pPr>
    </w:p>
    <w:p>
      <w:r>
        <w:br w:type="page"/>
      </w:r>
    </w:p>
    <w:p>
      <w:pPr>
        <w:keepNext/>
        <w:spacing w:before="280" w:after="120"/>
        <w:pBdr>
          <w:bottom w:val="single" w:sz="12" w:space="3" w:color="C6A15B"/>
        </w:pBdr>
      </w:pPr>
      <w:r>
        <w:rPr>
          <w:rFonts w:ascii="Calibri" w:hAnsi="Calibri"/>
          <w:b/>
          <w:i w:val="0"/>
          <w:color w:val="123B4F"/>
          <w:sz w:val="32"/>
        </w:rPr>
        <w:t>3.  Part 3 — Product-line deep-dives</w:t>
      </w:r>
    </w:p>
    <w:p>
      <w:pPr>
        <w:spacing w:after="120"/>
        <w:jc w:val="both"/>
      </w:pPr>
      <w:r>
        <w:rPr>
          <w:rFonts w:ascii="Calibri" w:hAnsi="Calibri"/>
          <w:b w:val="0"/>
          <w:i w:val="0"/>
          <w:color w:val="1B2A32"/>
          <w:sz w:val="21"/>
        </w:rPr>
        <w:t xml:space="preserve">Twenty lines, each in the same shape: </w:t>
      </w:r>
      <w:r>
        <w:rPr>
          <w:rFonts w:ascii="Calibri" w:hAnsi="Calibri"/>
          <w:b/>
          <w:i w:val="0"/>
          <w:color w:val="1B2A32"/>
          <w:sz w:val="21"/>
        </w:rPr>
        <w:t>what it covers</w:t>
      </w:r>
      <w:r>
        <w:rPr>
          <w:rFonts w:ascii="Calibri" w:hAnsi="Calibri"/>
          <w:b w:val="0"/>
          <w:i w:val="0"/>
          <w:color w:val="1B2A32"/>
          <w:sz w:val="21"/>
        </w:rPr>
        <w:t xml:space="preserve">, </w:t>
      </w:r>
      <w:r>
        <w:rPr>
          <w:rFonts w:ascii="Calibri" w:hAnsi="Calibri"/>
          <w:b/>
          <w:i w:val="0"/>
          <w:color w:val="1B2A32"/>
          <w:sz w:val="21"/>
        </w:rPr>
        <w:t>the disputes that recur</w:t>
      </w:r>
      <w:r>
        <w:rPr>
          <w:rFonts w:ascii="Calibri" w:hAnsi="Calibri"/>
          <w:b w:val="0"/>
          <w:i w:val="0"/>
          <w:color w:val="1B2A32"/>
          <w:sz w:val="21"/>
        </w:rPr>
        <w:t xml:space="preserve">, </w:t>
      </w:r>
      <w:r>
        <w:rPr>
          <w:rFonts w:ascii="Calibri" w:hAnsi="Calibri"/>
          <w:b/>
          <w:i w:val="0"/>
          <w:color w:val="1B2A32"/>
          <w:sz w:val="21"/>
        </w:rPr>
        <w:t>the documents that decide them</w:t>
      </w:r>
      <w:r>
        <w:rPr>
          <w:rFonts w:ascii="Calibri" w:hAnsi="Calibri"/>
          <w:b w:val="0"/>
          <w:i w:val="0"/>
          <w:color w:val="1B2A32"/>
          <w:sz w:val="21"/>
        </w:rPr>
        <w:t xml:space="preserve">, and </w:t>
      </w:r>
      <w:r>
        <w:rPr>
          <w:rFonts w:ascii="Calibri" w:hAnsi="Calibri"/>
          <w:b/>
          <w:i w:val="0"/>
          <w:color w:val="1B2A32"/>
          <w:sz w:val="21"/>
        </w:rPr>
        <w:t>the settlement shapes that work</w:t>
      </w:r>
      <w:r>
        <w:rPr>
          <w:rFonts w:ascii="Calibri" w:hAnsi="Calibri"/>
          <w:b w:val="0"/>
          <w:i w:val="0"/>
          <w:color w:val="1B2A32"/>
          <w:sz w:val="21"/>
        </w:rPr>
        <w:t>. Read alongside the Line Playbooks, which give the session-level detail.</w:t>
      </w:r>
    </w:p>
    <w:p>
      <w:pPr>
        <w:keepNext/>
        <w:spacing w:before="200" w:after="60"/>
      </w:pPr>
      <w:r>
        <w:rPr>
          <w:rFonts w:ascii="Calibri" w:hAnsi="Calibri"/>
          <w:b/>
          <w:i w:val="0"/>
          <w:color w:val="1E7A8C"/>
          <w:sz w:val="25"/>
        </w:rPr>
        <w:t>3.1  3.1  Life insurance</w:t>
      </w:r>
    </w:p>
    <w:p>
      <w:pPr>
        <w:spacing w:after="120"/>
        <w:jc w:val="both"/>
      </w:pPr>
      <w:r>
        <w:rPr>
          <w:rFonts w:ascii="Calibri" w:hAnsi="Calibri"/>
          <w:b w:val="0"/>
          <w:i w:val="0"/>
          <w:color w:val="1B2A32"/>
          <w:sz w:val="21"/>
        </w:rPr>
        <w:t>Life spans pure protection (term), savings-linked (endowment, money-back, whole life), market-linked (ULIP), income (annuity/pension), and group cover (term, credit/mortgage, employer). The disputes differ sharply by product.</w:t>
      </w:r>
    </w:p>
    <w:tbl>
      <w:tblPr>
        <w:tblStyle w:val="TableGrid"/>
        <w:tblW w:type="auto" w:w="0"/>
        <w:jc w:val="center"/>
        <w:tblLook w:firstColumn="1" w:firstRow="1" w:lastColumn="0" w:lastRow="0" w:noHBand="0" w:noVBand="1" w:val="04A0"/>
      </w:tblPr>
      <w:tblGrid>
        <w:gridCol w:w="3168"/>
        <w:gridCol w:w="3168"/>
        <w:gridCol w:w="3168"/>
      </w:tblGrid>
      <w:tr>
        <w:tc>
          <w:tcPr>
            <w:tcW w:type="dxa" w:w="34560"/>
            <w:shd w:val="clear" w:fill="123B4F"/>
          </w:tcPr>
          <w:p>
            <w:r/>
            <w:r>
              <w:rPr>
                <w:rFonts w:ascii="Calibri" w:hAnsi="Calibri"/>
                <w:b/>
                <w:i w:val="0"/>
                <w:color w:val="FFFFFF"/>
                <w:sz w:val="18"/>
              </w:rPr>
              <w:t>Sub-product</w:t>
            </w:r>
          </w:p>
        </w:tc>
        <w:tc>
          <w:tcPr>
            <w:tcW w:type="dxa" w:w="66240"/>
            <w:shd w:val="clear" w:fill="123B4F"/>
          </w:tcPr>
          <w:p>
            <w:r/>
            <w:r>
              <w:rPr>
                <w:rFonts w:ascii="Calibri" w:hAnsi="Calibri"/>
                <w:b/>
                <w:i w:val="0"/>
                <w:color w:val="FFFFFF"/>
                <w:sz w:val="18"/>
              </w:rPr>
              <w:t>Recurring disputes</w:t>
            </w:r>
          </w:p>
        </w:tc>
        <w:tc>
          <w:tcPr>
            <w:tcW w:type="dxa" w:w="43200"/>
            <w:shd w:val="clear" w:fill="123B4F"/>
          </w:tcPr>
          <w:p>
            <w:r/>
            <w:r>
              <w:rPr>
                <w:rFonts w:ascii="Calibri" w:hAnsi="Calibri"/>
                <w:b/>
                <w:i w:val="0"/>
                <w:color w:val="FFFFFF"/>
                <w:sz w:val="18"/>
              </w:rPr>
              <w:t>Deciding document</w:t>
            </w:r>
          </w:p>
        </w:tc>
      </w:tr>
      <w:tr>
        <w:tc>
          <w:tcPr>
            <w:tcW w:type="dxa" w:w="34560"/>
          </w:tcPr>
          <w:p>
            <w:r/>
            <w:r>
              <w:rPr>
                <w:rFonts w:ascii="Calibri" w:hAnsi="Calibri"/>
                <w:b w:val="0"/>
                <w:i w:val="0"/>
                <w:color w:val="1B2A32"/>
                <w:sz w:val="18"/>
              </w:rPr>
              <w:t>Term</w:t>
            </w:r>
          </w:p>
        </w:tc>
        <w:tc>
          <w:tcPr>
            <w:tcW w:type="dxa" w:w="66240"/>
          </w:tcPr>
          <w:p>
            <w:r/>
            <w:r>
              <w:rPr>
                <w:rFonts w:ascii="Calibri" w:hAnsi="Calibri"/>
                <w:b w:val="0"/>
                <w:i w:val="0"/>
                <w:color w:val="1B2A32"/>
                <w:sz w:val="18"/>
              </w:rPr>
              <w:t>Early death claim investigation; non-disclosure; suicide-clause year-one; accidental-death rider trigger</w:t>
            </w:r>
          </w:p>
        </w:tc>
        <w:tc>
          <w:tcPr>
            <w:tcW w:type="dxa" w:w="43200"/>
          </w:tcPr>
          <w:p>
            <w:r/>
            <w:r>
              <w:rPr>
                <w:rFonts w:ascii="Calibri" w:hAnsi="Calibri"/>
                <w:b w:val="0"/>
                <w:i w:val="0"/>
                <w:color w:val="1B2A32"/>
                <w:sz w:val="18"/>
              </w:rPr>
              <w:t>Proposal form; medical report; s.45 date chain</w:t>
            </w:r>
          </w:p>
        </w:tc>
      </w:tr>
      <w:tr>
        <w:tc>
          <w:tcPr>
            <w:tcW w:type="dxa" w:w="34560"/>
            <w:shd w:val="clear" w:fill="F3F7F9"/>
          </w:tcPr>
          <w:p>
            <w:r/>
            <w:r>
              <w:rPr>
                <w:rFonts w:ascii="Calibri" w:hAnsi="Calibri"/>
                <w:b w:val="0"/>
                <w:i w:val="0"/>
                <w:color w:val="1B2A32"/>
                <w:sz w:val="18"/>
              </w:rPr>
              <w:t>Endowment / money-back</w:t>
            </w:r>
          </w:p>
        </w:tc>
        <w:tc>
          <w:tcPr>
            <w:tcW w:type="dxa" w:w="66240"/>
            <w:shd w:val="clear" w:fill="F3F7F9"/>
          </w:tcPr>
          <w:p>
            <w:r/>
            <w:r>
              <w:rPr>
                <w:rFonts w:ascii="Calibri" w:hAnsi="Calibri"/>
                <w:b w:val="0"/>
                <w:i w:val="0"/>
                <w:color w:val="1B2A32"/>
                <w:sz w:val="18"/>
              </w:rPr>
              <w:t>Mis-selling as a deposit; surrender value; paid-up value; bonus/loyalty computation; lapse &amp; revival</w:t>
            </w:r>
          </w:p>
        </w:tc>
        <w:tc>
          <w:tcPr>
            <w:tcW w:type="dxa" w:w="43200"/>
            <w:shd w:val="clear" w:fill="F3F7F9"/>
          </w:tcPr>
          <w:p>
            <w:r/>
            <w:r>
              <w:rPr>
                <w:rFonts w:ascii="Calibri" w:hAnsi="Calibri"/>
                <w:b w:val="0"/>
                <w:i w:val="0"/>
                <w:color w:val="1B2A32"/>
                <w:sz w:val="18"/>
              </w:rPr>
              <w:t>Benefit illustration; policy schedule</w:t>
            </w:r>
          </w:p>
        </w:tc>
      </w:tr>
      <w:tr>
        <w:tc>
          <w:tcPr>
            <w:tcW w:type="dxa" w:w="34560"/>
          </w:tcPr>
          <w:p>
            <w:r/>
            <w:r>
              <w:rPr>
                <w:rFonts w:ascii="Calibri" w:hAnsi="Calibri"/>
                <w:b w:val="0"/>
                <w:i w:val="0"/>
                <w:color w:val="1B2A32"/>
                <w:sz w:val="18"/>
              </w:rPr>
              <w:t>ULIP</w:t>
            </w:r>
          </w:p>
        </w:tc>
        <w:tc>
          <w:tcPr>
            <w:tcW w:type="dxa" w:w="66240"/>
          </w:tcPr>
          <w:p>
            <w:r/>
            <w:r>
              <w:rPr>
                <w:rFonts w:ascii="Calibri" w:hAnsi="Calibri"/>
                <w:b w:val="0"/>
                <w:i w:val="0"/>
                <w:color w:val="1B2A32"/>
                <w:sz w:val="18"/>
              </w:rPr>
              <w:t>Fund value on surrender; discontinuance fund &amp; charges; NAV date on switch/redemption; mis-selling of market risk; premium-allocation charges</w:t>
            </w:r>
          </w:p>
        </w:tc>
        <w:tc>
          <w:tcPr>
            <w:tcW w:type="dxa" w:w="43200"/>
          </w:tcPr>
          <w:p>
            <w:r/>
            <w:r>
              <w:rPr>
                <w:rFonts w:ascii="Calibri" w:hAnsi="Calibri"/>
                <w:b w:val="0"/>
                <w:i w:val="0"/>
                <w:color w:val="1B2A32"/>
                <w:sz w:val="18"/>
              </w:rPr>
              <w:t>Benefit illustration; unit statement; discontinuance terms</w:t>
            </w:r>
          </w:p>
        </w:tc>
      </w:tr>
      <w:tr>
        <w:tc>
          <w:tcPr>
            <w:tcW w:type="dxa" w:w="34560"/>
            <w:shd w:val="clear" w:fill="F3F7F9"/>
          </w:tcPr>
          <w:p>
            <w:r/>
            <w:r>
              <w:rPr>
                <w:rFonts w:ascii="Calibri" w:hAnsi="Calibri"/>
                <w:b w:val="0"/>
                <w:i w:val="0"/>
                <w:color w:val="1B2A32"/>
                <w:sz w:val="18"/>
              </w:rPr>
              <w:t>Annuity / pension</w:t>
            </w:r>
          </w:p>
        </w:tc>
        <w:tc>
          <w:tcPr>
            <w:tcW w:type="dxa" w:w="66240"/>
            <w:shd w:val="clear" w:fill="F3F7F9"/>
          </w:tcPr>
          <w:p>
            <w:r/>
            <w:r>
              <w:rPr>
                <w:rFonts w:ascii="Calibri" w:hAnsi="Calibri"/>
                <w:b w:val="0"/>
                <w:i w:val="0"/>
                <w:color w:val="1B2A32"/>
                <w:sz w:val="18"/>
              </w:rPr>
              <w:t>Annuity rate applied; commutation; return of purchase price; delayed first instalment; survivor annuity</w:t>
            </w:r>
          </w:p>
        </w:tc>
        <w:tc>
          <w:tcPr>
            <w:tcW w:type="dxa" w:w="43200"/>
            <w:shd w:val="clear" w:fill="F3F7F9"/>
          </w:tcPr>
          <w:p>
            <w:r/>
            <w:r>
              <w:rPr>
                <w:rFonts w:ascii="Calibri" w:hAnsi="Calibri"/>
                <w:b w:val="0"/>
                <w:i w:val="0"/>
                <w:color w:val="1B2A32"/>
                <w:sz w:val="18"/>
              </w:rPr>
              <w:t>Annuity option chosen; policy terms</w:t>
            </w:r>
          </w:p>
        </w:tc>
      </w:tr>
      <w:tr>
        <w:tc>
          <w:tcPr>
            <w:tcW w:type="dxa" w:w="34560"/>
          </w:tcPr>
          <w:p>
            <w:r/>
            <w:r>
              <w:rPr>
                <w:rFonts w:ascii="Calibri" w:hAnsi="Calibri"/>
                <w:b w:val="0"/>
                <w:i w:val="0"/>
                <w:color w:val="1B2A32"/>
                <w:sz w:val="18"/>
              </w:rPr>
              <w:t>Group term / credit life</w:t>
            </w:r>
          </w:p>
        </w:tc>
        <w:tc>
          <w:tcPr>
            <w:tcW w:type="dxa" w:w="66240"/>
          </w:tcPr>
          <w:p>
            <w:r/>
            <w:r>
              <w:rPr>
                <w:rFonts w:ascii="Calibri" w:hAnsi="Calibri"/>
                <w:b w:val="0"/>
                <w:i w:val="0"/>
                <w:color w:val="1B2A32"/>
                <w:sz w:val="18"/>
              </w:rPr>
              <w:t>Cover in force at death; sum assured linked to outstanding loan; master-policyholder vs member; premium remittance gap</w:t>
            </w:r>
          </w:p>
        </w:tc>
        <w:tc>
          <w:tcPr>
            <w:tcW w:type="dxa" w:w="43200"/>
          </w:tcPr>
          <w:p>
            <w:r/>
            <w:r>
              <w:rPr>
                <w:rFonts w:ascii="Calibri" w:hAnsi="Calibri"/>
                <w:b w:val="0"/>
                <w:i w:val="0"/>
                <w:color w:val="1B2A32"/>
                <w:sz w:val="18"/>
              </w:rPr>
              <w:t>Master policy; certificate of insurance; loan statement</w:t>
            </w:r>
          </w:p>
        </w:tc>
      </w:tr>
      <w:tr>
        <w:tc>
          <w:tcPr>
            <w:tcW w:type="dxa" w:w="34560"/>
            <w:shd w:val="clear" w:fill="F3F7F9"/>
          </w:tcPr>
          <w:p>
            <w:r/>
            <w:r>
              <w:rPr>
                <w:rFonts w:ascii="Calibri" w:hAnsi="Calibri"/>
                <w:b w:val="0"/>
                <w:i w:val="0"/>
                <w:color w:val="1B2A32"/>
                <w:sz w:val="18"/>
              </w:rPr>
              <w:t>Keyman</w:t>
            </w:r>
          </w:p>
        </w:tc>
        <w:tc>
          <w:tcPr>
            <w:tcW w:type="dxa" w:w="66240"/>
            <w:shd w:val="clear" w:fill="F3F7F9"/>
          </w:tcPr>
          <w:p>
            <w:r/>
            <w:r>
              <w:rPr>
                <w:rFonts w:ascii="Calibri" w:hAnsi="Calibri"/>
                <w:b w:val="0"/>
                <w:i w:val="0"/>
                <w:color w:val="1B2A32"/>
                <w:sz w:val="18"/>
              </w:rPr>
              <w:t>Insurable interest; tax treatment on assignment; sum assured basis</w:t>
            </w:r>
          </w:p>
        </w:tc>
        <w:tc>
          <w:tcPr>
            <w:tcW w:type="dxa" w:w="43200"/>
            <w:shd w:val="clear" w:fill="F3F7F9"/>
          </w:tcPr>
          <w:p>
            <w:r/>
            <w:r>
              <w:rPr>
                <w:rFonts w:ascii="Calibri" w:hAnsi="Calibri"/>
                <w:b w:val="0"/>
                <w:i w:val="0"/>
                <w:color w:val="1B2A32"/>
                <w:sz w:val="18"/>
              </w:rPr>
              <w:t>Board resolution; financials</w:t>
            </w:r>
          </w:p>
        </w:tc>
      </w:tr>
      <w:tr>
        <w:tc>
          <w:tcPr>
            <w:tcW w:type="dxa" w:w="34560"/>
          </w:tcPr>
          <w:p>
            <w:r/>
            <w:r>
              <w:rPr>
                <w:rFonts w:ascii="Calibri" w:hAnsi="Calibri"/>
                <w:b w:val="0"/>
                <w:i w:val="0"/>
                <w:color w:val="1B2A32"/>
                <w:sz w:val="18"/>
              </w:rPr>
              <w:t>Riders</w:t>
            </w:r>
          </w:p>
        </w:tc>
        <w:tc>
          <w:tcPr>
            <w:tcW w:type="dxa" w:w="66240"/>
          </w:tcPr>
          <w:p>
            <w:r/>
            <w:r>
              <w:rPr>
                <w:rFonts w:ascii="Calibri" w:hAnsi="Calibri"/>
                <w:b w:val="0"/>
                <w:i w:val="0"/>
                <w:color w:val="1B2A32"/>
                <w:sz w:val="18"/>
              </w:rPr>
              <w:t>Critical-illness definition met; waiver-of-premium trigger; accidental-death exclusions (intoxication, hazardous activity)</w:t>
            </w:r>
          </w:p>
        </w:tc>
        <w:tc>
          <w:tcPr>
            <w:tcW w:type="dxa" w:w="43200"/>
          </w:tcPr>
          <w:p>
            <w:r/>
            <w:r>
              <w:rPr>
                <w:rFonts w:ascii="Calibri" w:hAnsi="Calibri"/>
                <w:b w:val="0"/>
                <w:i w:val="0"/>
                <w:color w:val="1B2A32"/>
                <w:sz w:val="18"/>
              </w:rPr>
              <w:t>Rider wording; medical evidence</w:t>
            </w:r>
          </w:p>
        </w:tc>
      </w:tr>
    </w:tbl>
    <w:p>
      <w:pPr>
        <w:spacing w:after="40"/>
      </w:pPr>
    </w:p>
    <w:tbl>
      <w:tblPr>
        <w:tblW w:type="auto" w:w="0"/>
        <w:jc w:val="center"/>
        <w:tblLook w:firstColumn="1" w:firstRow="1" w:lastColumn="0" w:lastRow="0" w:noHBand="0" w:noVBand="1" w:val="04A0"/>
      </w:tblPr>
      <w:tblGrid>
        <w:gridCol w:w="9504"/>
      </w:tblGrid>
      <w:tr>
        <w:tc>
          <w:tcPr>
            <w:tcW w:type="dxa" w:w="9360"/>
            <w:shd w:val="clear" w:fill="F5ECD6"/>
            <w:tcBorders>
              <w:start w:val="single" w:sz="22" w:space="0" w:color="C6A15B"/>
            </w:tcBorders>
          </w:tcPr>
          <w:p>
            <w:r>
              <w:rPr>
                <w:rFonts w:ascii="Calibri" w:hAnsi="Calibri"/>
                <w:b/>
                <w:i w:val="0"/>
                <w:color w:val="123B4F"/>
                <w:sz w:val="18"/>
              </w:rPr>
              <w:t>THE SECTION 45 GATE (Insurance Act, 1938)</w:t>
            </w:r>
          </w:p>
          <w:p>
            <w:r>
              <w:rPr>
                <w:rFonts w:ascii="Calibri" w:hAnsi="Calibri"/>
                <w:b w:val="0"/>
                <w:i w:val="0"/>
                <w:color w:val="1B2A32"/>
                <w:sz w:val="19"/>
              </w:rPr>
              <w:t xml:space="preserve">An insurer cannot call a life policy in question after the statutory period from the later of issue, commencement of risk, revival or rider, except on the grounds and by the procedure the section prescribes — including communicating the ground in writing with the materials relied on. The materiality of a non-disclosure is judged by whether a prudent insurer would have been influenced (*Mithoolal Nayak v. LIC*, AIR 1962 SC 814), and the </w:t>
            </w:r>
            <w:r>
              <w:rPr>
                <w:rFonts w:ascii="Calibri" w:hAnsi="Calibri"/>
                <w:b/>
                <w:i w:val="0"/>
                <w:color w:val="1B2A32"/>
                <w:sz w:val="19"/>
              </w:rPr>
              <w:t>burden is on the insurer</w:t>
            </w:r>
            <w:r>
              <w:rPr>
                <w:rFonts w:ascii="Calibri" w:hAnsi="Calibri"/>
                <w:b w:val="0"/>
                <w:i w:val="0"/>
                <w:color w:val="1B2A32"/>
                <w:sz w:val="19"/>
              </w:rPr>
              <w:t xml:space="preserve"> to prove suppression of a material fact (*Reliance Life Insurance v. Rekhaben Nareshbhai Rathod*, (2019) 6 SCC 175 [verify pinpoint]). A revival resets the clock — check the revival date first.</w:t>
            </w:r>
          </w:p>
        </w:tc>
      </w:tr>
    </w:tbl>
    <w:p>
      <w:pPr>
        <w:spacing w:after="40"/>
      </w:pPr>
    </w:p>
    <w:p>
      <w:pPr>
        <w:keepNext/>
        <w:spacing w:before="200" w:after="60"/>
      </w:pPr>
      <w:r>
        <w:rPr>
          <w:rFonts w:ascii="Calibri" w:hAnsi="Calibri"/>
          <w:b/>
          <w:i w:val="0"/>
          <w:color w:val="1E7A8C"/>
          <w:sz w:val="25"/>
        </w:rPr>
        <w:t>3.2  3.2  Health insurance (private / indemnity)</w:t>
      </w:r>
    </w:p>
    <w:p>
      <w:pPr>
        <w:spacing w:after="120"/>
        <w:jc w:val="both"/>
      </w:pPr>
      <w:r>
        <w:rPr>
          <w:rFonts w:ascii="Calibri" w:hAnsi="Calibri"/>
          <w:b w:val="0"/>
          <w:i w:val="0"/>
          <w:color w:val="1B2A32"/>
          <w:sz w:val="21"/>
        </w:rPr>
        <w:t>Health is the single largest source of general-insurance grievances in India, and the disputes are remarkably repetitive. The IRDAI Master Circular on Health Insurance (2024) tightened the service obligations that now frame every dispute.</w:t>
      </w:r>
    </w:p>
    <w:tbl>
      <w:tblPr>
        <w:tblStyle w:val="TableGrid"/>
        <w:tblW w:type="auto" w:w="0"/>
        <w:jc w:val="center"/>
        <w:tblLook w:firstColumn="1" w:firstRow="1" w:lastColumn="0" w:lastRow="0" w:noHBand="0" w:noVBand="1" w:val="04A0"/>
      </w:tblPr>
      <w:tblGrid>
        <w:gridCol w:w="2376"/>
        <w:gridCol w:w="2376"/>
        <w:gridCol w:w="2376"/>
        <w:gridCol w:w="2376"/>
      </w:tblGrid>
      <w:tr>
        <w:tc>
          <w:tcPr>
            <w:tcW w:type="dxa" w:w="31680"/>
            <w:shd w:val="clear" w:fill="123B4F"/>
          </w:tcPr>
          <w:p>
            <w:r/>
            <w:r>
              <w:rPr>
                <w:rFonts w:ascii="Calibri" w:hAnsi="Calibri"/>
                <w:b/>
                <w:i w:val="0"/>
                <w:color w:val="FFFFFF"/>
                <w:sz w:val="18"/>
              </w:rPr>
              <w:t>Dispute</w:t>
            </w:r>
          </w:p>
        </w:tc>
        <w:tc>
          <w:tcPr>
            <w:tcW w:type="dxa" w:w="34560"/>
            <w:shd w:val="clear" w:fill="123B4F"/>
          </w:tcPr>
          <w:p>
            <w:r/>
            <w:r>
              <w:rPr>
                <w:rFonts w:ascii="Calibri" w:hAnsi="Calibri"/>
                <w:b/>
                <w:i w:val="0"/>
                <w:color w:val="FFFFFF"/>
                <w:sz w:val="18"/>
              </w:rPr>
              <w:t>The insurer's position</w:t>
            </w:r>
          </w:p>
        </w:tc>
        <w:tc>
          <w:tcPr>
            <w:tcW w:type="dxa" w:w="43200"/>
            <w:shd w:val="clear" w:fill="123B4F"/>
          </w:tcPr>
          <w:p>
            <w:r/>
            <w:r>
              <w:rPr>
                <w:rFonts w:ascii="Calibri" w:hAnsi="Calibri"/>
                <w:b/>
                <w:i w:val="0"/>
                <w:color w:val="FFFFFF"/>
                <w:sz w:val="18"/>
              </w:rPr>
              <w:t>The counter-position</w:t>
            </w:r>
          </w:p>
        </w:tc>
        <w:tc>
          <w:tcPr>
            <w:tcW w:type="dxa" w:w="34560"/>
            <w:shd w:val="clear" w:fill="123B4F"/>
          </w:tcPr>
          <w:p>
            <w:r/>
            <w:r>
              <w:rPr>
                <w:rFonts w:ascii="Calibri" w:hAnsi="Calibri"/>
                <w:b/>
                <w:i w:val="0"/>
                <w:color w:val="FFFFFF"/>
                <w:sz w:val="18"/>
              </w:rPr>
              <w:t>What settles it</w:t>
            </w:r>
          </w:p>
        </w:tc>
      </w:tr>
      <w:tr>
        <w:tc>
          <w:tcPr>
            <w:tcW w:type="dxa" w:w="31680"/>
          </w:tcPr>
          <w:p>
            <w:r/>
            <w:r>
              <w:rPr>
                <w:rFonts w:ascii="Calibri" w:hAnsi="Calibri"/>
                <w:b w:val="0"/>
                <w:i w:val="0"/>
                <w:color w:val="1B2A32"/>
                <w:sz w:val="18"/>
              </w:rPr>
              <w:t>Pre-existing disease / waiting period</w:t>
            </w:r>
          </w:p>
        </w:tc>
        <w:tc>
          <w:tcPr>
            <w:tcW w:type="dxa" w:w="34560"/>
          </w:tcPr>
          <w:p>
            <w:r/>
            <w:r>
              <w:rPr>
                <w:rFonts w:ascii="Calibri" w:hAnsi="Calibri"/>
                <w:b w:val="0"/>
                <w:i w:val="0"/>
                <w:color w:val="1B2A32"/>
                <w:sz w:val="18"/>
              </w:rPr>
              <w:t>Condition pre-dated cover; waiting period incomplete</w:t>
            </w:r>
          </w:p>
        </w:tc>
        <w:tc>
          <w:tcPr>
            <w:tcW w:type="dxa" w:w="43200"/>
          </w:tcPr>
          <w:p>
            <w:r/>
            <w:r>
              <w:rPr>
                <w:rFonts w:ascii="Calibri" w:hAnsi="Calibri"/>
                <w:b w:val="0"/>
                <w:i w:val="0"/>
                <w:color w:val="1B2A32"/>
                <w:sz w:val="18"/>
              </w:rPr>
              <w:t>Continuous cover completed the period; disclosed; not material; ported credit carries over</w:t>
            </w:r>
          </w:p>
        </w:tc>
        <w:tc>
          <w:tcPr>
            <w:tcW w:type="dxa" w:w="34560"/>
          </w:tcPr>
          <w:p>
            <w:r/>
            <w:r>
              <w:rPr>
                <w:rFonts w:ascii="Calibri" w:hAnsi="Calibri"/>
                <w:b w:val="0"/>
                <w:i w:val="0"/>
                <w:color w:val="1B2A32"/>
                <w:sz w:val="18"/>
              </w:rPr>
              <w:t>First-ever inception date; renewal chain; proposal form</w:t>
            </w:r>
          </w:p>
        </w:tc>
      </w:tr>
      <w:tr>
        <w:tc>
          <w:tcPr>
            <w:tcW w:type="dxa" w:w="31680"/>
            <w:shd w:val="clear" w:fill="F3F7F9"/>
          </w:tcPr>
          <w:p>
            <w:r/>
            <w:r>
              <w:rPr>
                <w:rFonts w:ascii="Calibri" w:hAnsi="Calibri"/>
                <w:b w:val="0"/>
                <w:i w:val="0"/>
                <w:color w:val="1B2A32"/>
                <w:sz w:val="18"/>
              </w:rPr>
              <w:t>Room-rent proportionate deduction</w:t>
            </w:r>
          </w:p>
        </w:tc>
        <w:tc>
          <w:tcPr>
            <w:tcW w:type="dxa" w:w="34560"/>
            <w:shd w:val="clear" w:fill="F3F7F9"/>
          </w:tcPr>
          <w:p>
            <w:r/>
            <w:r>
              <w:rPr>
                <w:rFonts w:ascii="Calibri" w:hAnsi="Calibri"/>
                <w:b w:val="0"/>
                <w:i w:val="0"/>
                <w:color w:val="1B2A32"/>
                <w:sz w:val="18"/>
              </w:rPr>
              <w:t>Room above eligible category; all charges reduced pro-rata</w:t>
            </w:r>
          </w:p>
        </w:tc>
        <w:tc>
          <w:tcPr>
            <w:tcW w:type="dxa" w:w="43200"/>
            <w:shd w:val="clear" w:fill="F3F7F9"/>
          </w:tcPr>
          <w:p>
            <w:r/>
            <w:r>
              <w:rPr>
                <w:rFonts w:ascii="Calibri" w:hAnsi="Calibri"/>
                <w:b w:val="0"/>
                <w:i w:val="0"/>
                <w:color w:val="1B2A32"/>
                <w:sz w:val="18"/>
              </w:rPr>
              <w:t>Applied to heads that do not vary with room (surgeon, implant, investigations)</w:t>
            </w:r>
          </w:p>
        </w:tc>
        <w:tc>
          <w:tcPr>
            <w:tcW w:type="dxa" w:w="34560"/>
            <w:shd w:val="clear" w:fill="F3F7F9"/>
          </w:tcPr>
          <w:p>
            <w:r/>
            <w:r>
              <w:rPr>
                <w:rFonts w:ascii="Calibri" w:hAnsi="Calibri"/>
                <w:b w:val="0"/>
                <w:i w:val="0"/>
                <w:color w:val="1B2A32"/>
                <w:sz w:val="18"/>
              </w:rPr>
              <w:t>Line-item schedule; check what actually varies with room</w:t>
            </w:r>
          </w:p>
        </w:tc>
      </w:tr>
      <w:tr>
        <w:tc>
          <w:tcPr>
            <w:tcW w:type="dxa" w:w="31680"/>
          </w:tcPr>
          <w:p>
            <w:r/>
            <w:r>
              <w:rPr>
                <w:rFonts w:ascii="Calibri" w:hAnsi="Calibri"/>
                <w:b w:val="0"/>
                <w:i w:val="0"/>
                <w:color w:val="1B2A32"/>
                <w:sz w:val="18"/>
              </w:rPr>
              <w:t>Co-pay / sub-limit</w:t>
            </w:r>
          </w:p>
        </w:tc>
        <w:tc>
          <w:tcPr>
            <w:tcW w:type="dxa" w:w="34560"/>
          </w:tcPr>
          <w:p>
            <w:r/>
            <w:r>
              <w:rPr>
                <w:rFonts w:ascii="Calibri" w:hAnsi="Calibri"/>
                <w:b w:val="0"/>
                <w:i w:val="0"/>
                <w:color w:val="1B2A32"/>
                <w:sz w:val="18"/>
              </w:rPr>
              <w:t>Policy caps this head</w:t>
            </w:r>
          </w:p>
        </w:tc>
        <w:tc>
          <w:tcPr>
            <w:tcW w:type="dxa" w:w="43200"/>
          </w:tcPr>
          <w:p>
            <w:r/>
            <w:r>
              <w:rPr>
                <w:rFonts w:ascii="Calibri" w:hAnsi="Calibri"/>
                <w:b w:val="0"/>
                <w:i w:val="0"/>
                <w:color w:val="1B2A32"/>
                <w:sz w:val="18"/>
              </w:rPr>
              <w:t>Cap not disclosed; applied twice; wrong head</w:t>
            </w:r>
          </w:p>
        </w:tc>
        <w:tc>
          <w:tcPr>
            <w:tcW w:type="dxa" w:w="34560"/>
          </w:tcPr>
          <w:p>
            <w:r/>
            <w:r>
              <w:rPr>
                <w:rFonts w:ascii="Calibri" w:hAnsi="Calibri"/>
                <w:b w:val="0"/>
                <w:i w:val="0"/>
                <w:color w:val="1B2A32"/>
                <w:sz w:val="18"/>
              </w:rPr>
              <w:t>Wording; arithmetic — double-counting is common</w:t>
            </w:r>
          </w:p>
        </w:tc>
      </w:tr>
      <w:tr>
        <w:tc>
          <w:tcPr>
            <w:tcW w:type="dxa" w:w="31680"/>
            <w:shd w:val="clear" w:fill="F3F7F9"/>
          </w:tcPr>
          <w:p>
            <w:r/>
            <w:r>
              <w:rPr>
                <w:rFonts w:ascii="Calibri" w:hAnsi="Calibri"/>
                <w:b w:val="0"/>
                <w:i w:val="0"/>
                <w:color w:val="1B2A32"/>
                <w:sz w:val="18"/>
              </w:rPr>
              <w:t>Cashless denial</w:t>
            </w:r>
          </w:p>
        </w:tc>
        <w:tc>
          <w:tcPr>
            <w:tcW w:type="dxa" w:w="34560"/>
            <w:shd w:val="clear" w:fill="F3F7F9"/>
          </w:tcPr>
          <w:p>
            <w:r/>
            <w:r>
              <w:rPr>
                <w:rFonts w:ascii="Calibri" w:hAnsi="Calibri"/>
                <w:b w:val="0"/>
                <w:i w:val="0"/>
                <w:color w:val="1B2A32"/>
                <w:sz w:val="18"/>
              </w:rPr>
              <w:t>Ineligible at pre-authorisation</w:t>
            </w:r>
          </w:p>
        </w:tc>
        <w:tc>
          <w:tcPr>
            <w:tcW w:type="dxa" w:w="43200"/>
            <w:shd w:val="clear" w:fill="F3F7F9"/>
          </w:tcPr>
          <w:p>
            <w:r/>
            <w:r>
              <w:rPr>
                <w:rFonts w:ascii="Calibri" w:hAnsi="Calibri"/>
                <w:b w:val="0"/>
                <w:i w:val="0"/>
                <w:color w:val="1B2A32"/>
                <w:sz w:val="18"/>
              </w:rPr>
              <w:t>Pre-auth is preliminary; reimbursement open; IRDAI: decide cashless in 1 hour, discharge authorisation in 3 hours</w:t>
            </w:r>
          </w:p>
        </w:tc>
        <w:tc>
          <w:tcPr>
            <w:tcW w:type="dxa" w:w="34560"/>
            <w:shd w:val="clear" w:fill="F3F7F9"/>
          </w:tcPr>
          <w:p>
            <w:r/>
            <w:r>
              <w:rPr>
                <w:rFonts w:ascii="Calibri" w:hAnsi="Calibri"/>
                <w:b w:val="0"/>
                <w:i w:val="0"/>
                <w:color w:val="1B2A32"/>
                <w:sz w:val="18"/>
              </w:rPr>
              <w:t>Convert to reimbursement; argue the substance</w:t>
            </w:r>
          </w:p>
        </w:tc>
      </w:tr>
      <w:tr>
        <w:tc>
          <w:tcPr>
            <w:tcW w:type="dxa" w:w="31680"/>
          </w:tcPr>
          <w:p>
            <w:r/>
            <w:r>
              <w:rPr>
                <w:rFonts w:ascii="Calibri" w:hAnsi="Calibri"/>
                <w:b w:val="0"/>
                <w:i w:val="0"/>
                <w:color w:val="1B2A32"/>
                <w:sz w:val="18"/>
              </w:rPr>
              <w:t>'Not medically necessary' / day-care</w:t>
            </w:r>
          </w:p>
        </w:tc>
        <w:tc>
          <w:tcPr>
            <w:tcW w:type="dxa" w:w="34560"/>
          </w:tcPr>
          <w:p>
            <w:r/>
            <w:r>
              <w:rPr>
                <w:rFonts w:ascii="Calibri" w:hAnsi="Calibri"/>
                <w:b w:val="0"/>
                <w:i w:val="0"/>
                <w:color w:val="1B2A32"/>
                <w:sz w:val="18"/>
              </w:rPr>
              <w:t>Could have been OPD</w:t>
            </w:r>
          </w:p>
        </w:tc>
        <w:tc>
          <w:tcPr>
            <w:tcW w:type="dxa" w:w="43200"/>
          </w:tcPr>
          <w:p>
            <w:r/>
            <w:r>
              <w:rPr>
                <w:rFonts w:ascii="Calibri" w:hAnsi="Calibri"/>
                <w:b w:val="0"/>
                <w:i w:val="0"/>
                <w:color w:val="1B2A32"/>
                <w:sz w:val="18"/>
              </w:rPr>
              <w:t>Treating doctor's certificate; on the day-care list</w:t>
            </w:r>
          </w:p>
        </w:tc>
        <w:tc>
          <w:tcPr>
            <w:tcW w:type="dxa" w:w="34560"/>
          </w:tcPr>
          <w:p>
            <w:r/>
            <w:r>
              <w:rPr>
                <w:rFonts w:ascii="Calibri" w:hAnsi="Calibri"/>
                <w:b w:val="0"/>
                <w:i w:val="0"/>
                <w:color w:val="1B2A32"/>
                <w:sz w:val="18"/>
              </w:rPr>
              <w:t>Doctor's note usually decisive</w:t>
            </w:r>
          </w:p>
        </w:tc>
      </w:tr>
      <w:tr>
        <w:tc>
          <w:tcPr>
            <w:tcW w:type="dxa" w:w="31680"/>
            <w:shd w:val="clear" w:fill="F3F7F9"/>
          </w:tcPr>
          <w:p>
            <w:r/>
            <w:r>
              <w:rPr>
                <w:rFonts w:ascii="Calibri" w:hAnsi="Calibri"/>
                <w:b w:val="0"/>
                <w:i w:val="0"/>
                <w:color w:val="1B2A32"/>
                <w:sz w:val="18"/>
              </w:rPr>
              <w:t>Delay in settlement</w:t>
            </w:r>
          </w:p>
        </w:tc>
        <w:tc>
          <w:tcPr>
            <w:tcW w:type="dxa" w:w="34560"/>
            <w:shd w:val="clear" w:fill="F3F7F9"/>
          </w:tcPr>
          <w:p>
            <w:r/>
            <w:r>
              <w:rPr>
                <w:rFonts w:ascii="Calibri" w:hAnsi="Calibri"/>
                <w:b w:val="0"/>
                <w:i w:val="0"/>
                <w:color w:val="1B2A32"/>
                <w:sz w:val="18"/>
              </w:rPr>
              <w:t>Investigation pending</w:t>
            </w:r>
          </w:p>
        </w:tc>
        <w:tc>
          <w:tcPr>
            <w:tcW w:type="dxa" w:w="43200"/>
            <w:shd w:val="clear" w:fill="F3F7F9"/>
          </w:tcPr>
          <w:p>
            <w:r/>
            <w:r>
              <w:rPr>
                <w:rFonts w:ascii="Calibri" w:hAnsi="Calibri"/>
                <w:b w:val="0"/>
                <w:i w:val="0"/>
                <w:color w:val="1B2A32"/>
                <w:sz w:val="18"/>
              </w:rPr>
              <w:t>IRDAI: settle within 30 days of last document; interest at 2% above bank rate on delay</w:t>
            </w:r>
          </w:p>
        </w:tc>
        <w:tc>
          <w:tcPr>
            <w:tcW w:type="dxa" w:w="34560"/>
            <w:shd w:val="clear" w:fill="F3F7F9"/>
          </w:tcPr>
          <w:p>
            <w:r/>
            <w:r>
              <w:rPr>
                <w:rFonts w:ascii="Calibri" w:hAnsi="Calibri"/>
                <w:b w:val="0"/>
                <w:i w:val="0"/>
                <w:color w:val="1B2A32"/>
                <w:sz w:val="18"/>
              </w:rPr>
              <w:t>Interest claim; a firm date</w:t>
            </w:r>
          </w:p>
        </w:tc>
      </w:tr>
    </w:tbl>
    <w:p>
      <w:pPr>
        <w:spacing w:after="40"/>
      </w:pPr>
    </w:p>
    <w:tbl>
      <w:tblPr>
        <w:tblW w:type="auto" w:w="0"/>
        <w:jc w:val="center"/>
        <w:tblLook w:firstColumn="1" w:firstRow="1" w:lastColumn="0" w:lastRow="0" w:noHBand="0" w:noVBand="1" w:val="04A0"/>
      </w:tblPr>
      <w:tblGrid>
        <w:gridCol w:w="9504"/>
      </w:tblGrid>
      <w:tr>
        <w:tc>
          <w:tcPr>
            <w:tcW w:type="dxa" w:w="9360"/>
            <w:shd w:val="clear" w:fill="DCEAEF"/>
            <w:tcBorders>
              <w:start w:val="single" w:sz="22" w:space="0" w:color="1E7A8C"/>
            </w:tcBorders>
          </w:tcPr>
          <w:p>
            <w:r>
              <w:rPr>
                <w:rFonts w:ascii="Calibri" w:hAnsi="Calibri"/>
                <w:b/>
                <w:i w:val="0"/>
                <w:color w:val="123B4F"/>
                <w:sz w:val="18"/>
              </w:rPr>
              <w:t>THE SERVICE CLOCKS THAT NOW FRAME HEALTH DISPUTES</w:t>
            </w:r>
          </w:p>
          <w:p>
            <w:r>
              <w:rPr>
                <w:rFonts w:ascii="Calibri" w:hAnsi="Calibri"/>
                <w:b w:val="0"/>
                <w:i w:val="0"/>
                <w:color w:val="1B2A32"/>
                <w:sz w:val="19"/>
              </w:rPr>
              <w:t xml:space="preserve">Under the IRDAI (Protection of Policyholders' Interests, Operations and Allied Matters) Regulations, 2024 (in force 1 April 2024) and the 2024 Master Circulars: </w:t>
            </w:r>
            <w:r>
              <w:rPr>
                <w:rFonts w:ascii="Calibri" w:hAnsi="Calibri"/>
                <w:b/>
                <w:i w:val="0"/>
                <w:color w:val="1B2A32"/>
                <w:sz w:val="19"/>
              </w:rPr>
              <w:t>cashless authorisation within 1 hour</w:t>
            </w:r>
            <w:r>
              <w:rPr>
                <w:rFonts w:ascii="Calibri" w:hAnsi="Calibri"/>
                <w:b w:val="0"/>
                <w:i w:val="0"/>
                <w:color w:val="1B2A32"/>
                <w:sz w:val="19"/>
              </w:rPr>
              <w:t xml:space="preserve"> of the hospital's request; </w:t>
            </w:r>
            <w:r>
              <w:rPr>
                <w:rFonts w:ascii="Calibri" w:hAnsi="Calibri"/>
                <w:b/>
                <w:i w:val="0"/>
                <w:color w:val="1B2A32"/>
                <w:sz w:val="19"/>
              </w:rPr>
              <w:t>final discharge authorisation within 3 hours</w:t>
            </w:r>
            <w:r>
              <w:rPr>
                <w:rFonts w:ascii="Calibri" w:hAnsi="Calibri"/>
                <w:b w:val="0"/>
                <w:i w:val="0"/>
                <w:color w:val="1B2A32"/>
                <w:sz w:val="19"/>
              </w:rPr>
              <w:t xml:space="preserve">; the insurer bears any additional hospital charge caused by its own delay; </w:t>
            </w:r>
            <w:r>
              <w:rPr>
                <w:rFonts w:ascii="Calibri" w:hAnsi="Calibri"/>
                <w:b/>
                <w:i w:val="0"/>
                <w:color w:val="1B2A32"/>
                <w:sz w:val="19"/>
              </w:rPr>
              <w:t>claims settled within 30 days</w:t>
            </w:r>
            <w:r>
              <w:rPr>
                <w:rFonts w:ascii="Calibri" w:hAnsi="Calibri"/>
                <w:b w:val="0"/>
                <w:i w:val="0"/>
                <w:color w:val="1B2A32"/>
                <w:sz w:val="19"/>
              </w:rPr>
              <w:t xml:space="preserve"> of the last necessary document, with </w:t>
            </w:r>
            <w:r>
              <w:rPr>
                <w:rFonts w:ascii="Calibri" w:hAnsi="Calibri"/>
                <w:b/>
                <w:i w:val="0"/>
                <w:color w:val="1B2A32"/>
                <w:sz w:val="19"/>
              </w:rPr>
              <w:t>interest at 2% above the bank rate</w:t>
            </w:r>
            <w:r>
              <w:rPr>
                <w:rFonts w:ascii="Calibri" w:hAnsi="Calibri"/>
                <w:b w:val="0"/>
                <w:i w:val="0"/>
                <w:color w:val="1B2A32"/>
                <w:sz w:val="19"/>
              </w:rPr>
              <w:t xml:space="preserve"> for delay beyond that. These are not aspirations — they are the benchmarks a neutral holds the insurer to. [verify — exact clause references before citing to a party]</w:t>
            </w:r>
          </w:p>
        </w:tc>
      </w:tr>
    </w:tbl>
    <w:p>
      <w:pPr>
        <w:spacing w:after="40"/>
      </w:pPr>
    </w:p>
    <w:p>
      <w:pPr>
        <w:keepNext/>
        <w:spacing w:before="200" w:after="60"/>
      </w:pPr>
      <w:r>
        <w:rPr>
          <w:rFonts w:ascii="Calibri" w:hAnsi="Calibri"/>
          <w:b/>
          <w:i w:val="0"/>
          <w:color w:val="1E7A8C"/>
          <w:sz w:val="25"/>
        </w:rPr>
        <w:t>3.3  3.3  Government &amp; micro health schemes</w:t>
      </w:r>
    </w:p>
    <w:p>
      <w:pPr>
        <w:spacing w:after="120"/>
        <w:jc w:val="both"/>
      </w:pPr>
      <w:r>
        <w:rPr>
          <w:rFonts w:ascii="Calibri" w:hAnsi="Calibri"/>
          <w:b w:val="0"/>
          <w:i w:val="0"/>
          <w:color w:val="1B2A32"/>
          <w:sz w:val="21"/>
        </w:rPr>
        <w:t xml:space="preserve">Government-scheme disputes do </w:t>
      </w:r>
      <w:r>
        <w:rPr>
          <w:rFonts w:ascii="Calibri" w:hAnsi="Calibri"/>
          <w:b/>
          <w:i w:val="0"/>
          <w:color w:val="1B2A32"/>
          <w:sz w:val="21"/>
        </w:rPr>
        <w:t>not</w:t>
      </w:r>
      <w:r>
        <w:rPr>
          <w:rFonts w:ascii="Calibri" w:hAnsi="Calibri"/>
          <w:b w:val="0"/>
          <w:i w:val="0"/>
          <w:color w:val="1B2A32"/>
          <w:sz w:val="21"/>
        </w:rPr>
        <w:t xml:space="preserve"> go to the Insurance Ombudsman. They run their own statutory grievance ladders. Recognising this at triage is essential — a PM-JAY beneficiary signposted to the Ombudsman has been sent to a forum with no jurisdiction over their complaint.</w:t>
      </w:r>
    </w:p>
    <w:tbl>
      <w:tblPr>
        <w:tblStyle w:val="TableGrid"/>
        <w:tblW w:type="auto" w:w="0"/>
        <w:jc w:val="center"/>
        <w:tblLook w:firstColumn="1" w:firstRow="1" w:lastColumn="0" w:lastRow="0" w:noHBand="0" w:noVBand="1" w:val="04A0"/>
      </w:tblPr>
      <w:tblGrid>
        <w:gridCol w:w="3168"/>
        <w:gridCol w:w="3168"/>
        <w:gridCol w:w="3168"/>
      </w:tblGrid>
      <w:tr>
        <w:tc>
          <w:tcPr>
            <w:tcW w:type="dxa" w:w="34560"/>
            <w:shd w:val="clear" w:fill="123B4F"/>
          </w:tcPr>
          <w:p>
            <w:r/>
            <w:r>
              <w:rPr>
                <w:rFonts w:ascii="Calibri" w:hAnsi="Calibri"/>
                <w:b/>
                <w:i w:val="0"/>
                <w:color w:val="FFFFFF"/>
                <w:sz w:val="18"/>
              </w:rPr>
              <w:t>Scheme</w:t>
            </w:r>
          </w:p>
        </w:tc>
        <w:tc>
          <w:tcPr>
            <w:tcW w:type="dxa" w:w="51840"/>
            <w:shd w:val="clear" w:fill="123B4F"/>
          </w:tcPr>
          <w:p>
            <w:r/>
            <w:r>
              <w:rPr>
                <w:rFonts w:ascii="Calibri" w:hAnsi="Calibri"/>
                <w:b/>
                <w:i w:val="0"/>
                <w:color w:val="FFFFFF"/>
                <w:sz w:val="18"/>
              </w:rPr>
              <w:t>What goes wrong</w:t>
            </w:r>
          </w:p>
        </w:tc>
        <w:tc>
          <w:tcPr>
            <w:tcW w:type="dxa" w:w="57600"/>
            <w:shd w:val="clear" w:fill="123B4F"/>
          </w:tcPr>
          <w:p>
            <w:r/>
            <w:r>
              <w:rPr>
                <w:rFonts w:ascii="Calibri" w:hAnsi="Calibri"/>
                <w:b/>
                <w:i w:val="0"/>
                <w:color w:val="FFFFFF"/>
                <w:sz w:val="18"/>
              </w:rPr>
              <w:t>The forum</w:t>
            </w:r>
          </w:p>
        </w:tc>
      </w:tr>
      <w:tr>
        <w:tc>
          <w:tcPr>
            <w:tcW w:type="dxa" w:w="34560"/>
          </w:tcPr>
          <w:p>
            <w:r/>
            <w:r>
              <w:rPr>
                <w:rFonts w:ascii="Calibri" w:hAnsi="Calibri"/>
                <w:b w:val="0"/>
                <w:i w:val="0"/>
                <w:color w:val="1B2A32"/>
                <w:sz w:val="18"/>
              </w:rPr>
              <w:t>Ayushman Bharat PM-JAY</w:t>
            </w:r>
          </w:p>
        </w:tc>
        <w:tc>
          <w:tcPr>
            <w:tcW w:type="dxa" w:w="51840"/>
          </w:tcPr>
          <w:p>
            <w:r/>
            <w:r>
              <w:rPr>
                <w:rFonts w:ascii="Calibri" w:hAnsi="Calibri"/>
                <w:b w:val="0"/>
                <w:i w:val="0"/>
                <w:color w:val="1B2A32"/>
                <w:sz w:val="18"/>
              </w:rPr>
              <w:t>Hospital denies a cashless benefit to an eligible beneficiary; package rate disputed; treatment refused; card/eligibility dispute; hospital de-empanelled and dues held</w:t>
            </w:r>
          </w:p>
        </w:tc>
        <w:tc>
          <w:tcPr>
            <w:tcW w:type="dxa" w:w="57600"/>
          </w:tcPr>
          <w:p>
            <w:r/>
            <w:r>
              <w:rPr>
                <w:rFonts w:ascii="Calibri" w:hAnsi="Calibri"/>
                <w:b w:val="0"/>
                <w:i w:val="0"/>
                <w:color w:val="1B2A32"/>
                <w:sz w:val="18"/>
              </w:rPr>
              <w:t>Three-tier grievance: District → State → National via CGRMS and call centre 14555; committee to decide within 30 days; escalation if unresolved in 15 days. Senior-citizen (70+) cover added 29 Oct 2024</w:t>
            </w:r>
          </w:p>
        </w:tc>
      </w:tr>
      <w:tr>
        <w:tc>
          <w:tcPr>
            <w:tcW w:type="dxa" w:w="34560"/>
            <w:shd w:val="clear" w:fill="F3F7F9"/>
          </w:tcPr>
          <w:p>
            <w:r/>
            <w:r>
              <w:rPr>
                <w:rFonts w:ascii="Calibri" w:hAnsi="Calibri"/>
                <w:b w:val="0"/>
                <w:i w:val="0"/>
                <w:color w:val="1B2A32"/>
                <w:sz w:val="18"/>
              </w:rPr>
              <w:t>State health-assurance schemes</w:t>
            </w:r>
          </w:p>
        </w:tc>
        <w:tc>
          <w:tcPr>
            <w:tcW w:type="dxa" w:w="51840"/>
            <w:shd w:val="clear" w:fill="F3F7F9"/>
          </w:tcPr>
          <w:p>
            <w:r/>
            <w:r>
              <w:rPr>
                <w:rFonts w:ascii="Calibri" w:hAnsi="Calibri"/>
                <w:b w:val="0"/>
                <w:i w:val="0"/>
                <w:color w:val="1B2A32"/>
                <w:sz w:val="18"/>
              </w:rPr>
              <w:t>Package rate; empanelment; beneficiary denial</w:t>
            </w:r>
          </w:p>
        </w:tc>
        <w:tc>
          <w:tcPr>
            <w:tcW w:type="dxa" w:w="57600"/>
            <w:shd w:val="clear" w:fill="F3F7F9"/>
          </w:tcPr>
          <w:p>
            <w:r/>
            <w:r>
              <w:rPr>
                <w:rFonts w:ascii="Calibri" w:hAnsi="Calibri"/>
                <w:b w:val="0"/>
                <w:i w:val="0"/>
                <w:color w:val="1B2A32"/>
                <w:sz w:val="18"/>
              </w:rPr>
              <w:t>State Health Agency grievance machinery; [verify — State-specific]</w:t>
            </w:r>
          </w:p>
        </w:tc>
      </w:tr>
      <w:tr>
        <w:tc>
          <w:tcPr>
            <w:tcW w:type="dxa" w:w="34560"/>
          </w:tcPr>
          <w:p>
            <w:r/>
            <w:r>
              <w:rPr>
                <w:rFonts w:ascii="Calibri" w:hAnsi="Calibri"/>
                <w:b w:val="0"/>
                <w:i w:val="0"/>
                <w:color w:val="1B2A32"/>
                <w:sz w:val="18"/>
              </w:rPr>
              <w:t>PMJJBY (life, ₹2 lakh)</w:t>
            </w:r>
          </w:p>
        </w:tc>
        <w:tc>
          <w:tcPr>
            <w:tcW w:type="dxa" w:w="51840"/>
          </w:tcPr>
          <w:p>
            <w:r/>
            <w:r>
              <w:rPr>
                <w:rFonts w:ascii="Calibri" w:hAnsi="Calibri"/>
                <w:b w:val="0"/>
                <w:i w:val="0"/>
                <w:color w:val="1B2A32"/>
                <w:sz w:val="18"/>
              </w:rPr>
              <w:t>Cover in force; premium auto-debit failure; nomination</w:t>
            </w:r>
          </w:p>
        </w:tc>
        <w:tc>
          <w:tcPr>
            <w:tcW w:type="dxa" w:w="57600"/>
          </w:tcPr>
          <w:p>
            <w:r/>
            <w:r>
              <w:rPr>
                <w:rFonts w:ascii="Calibri" w:hAnsi="Calibri"/>
                <w:b w:val="0"/>
                <w:i w:val="0"/>
                <w:color w:val="1B2A32"/>
                <w:sz w:val="18"/>
              </w:rPr>
              <w:t>Bank → insurer → IRDAI Bima Bharosa</w:t>
            </w:r>
          </w:p>
        </w:tc>
      </w:tr>
      <w:tr>
        <w:tc>
          <w:tcPr>
            <w:tcW w:type="dxa" w:w="34560"/>
            <w:shd w:val="clear" w:fill="F3F7F9"/>
          </w:tcPr>
          <w:p>
            <w:r/>
            <w:r>
              <w:rPr>
                <w:rFonts w:ascii="Calibri" w:hAnsi="Calibri"/>
                <w:b w:val="0"/>
                <w:i w:val="0"/>
                <w:color w:val="1B2A32"/>
                <w:sz w:val="18"/>
              </w:rPr>
              <w:t>PMSBY (accident, ₹2 lakh)</w:t>
            </w:r>
          </w:p>
        </w:tc>
        <w:tc>
          <w:tcPr>
            <w:tcW w:type="dxa" w:w="51840"/>
            <w:shd w:val="clear" w:fill="F3F7F9"/>
          </w:tcPr>
          <w:p>
            <w:r/>
            <w:r>
              <w:rPr>
                <w:rFonts w:ascii="Calibri" w:hAnsi="Calibri"/>
                <w:b w:val="0"/>
                <w:i w:val="0"/>
                <w:color w:val="1B2A32"/>
                <w:sz w:val="18"/>
              </w:rPr>
              <w:t>Disability certification; accident causation; auto-debit</w:t>
            </w:r>
          </w:p>
        </w:tc>
        <w:tc>
          <w:tcPr>
            <w:tcW w:type="dxa" w:w="57600"/>
            <w:shd w:val="clear" w:fill="F3F7F9"/>
          </w:tcPr>
          <w:p>
            <w:r/>
            <w:r>
              <w:rPr>
                <w:rFonts w:ascii="Calibri" w:hAnsi="Calibri"/>
                <w:b w:val="0"/>
                <w:i w:val="0"/>
                <w:color w:val="1B2A32"/>
                <w:sz w:val="18"/>
              </w:rPr>
              <w:t>Bank → insurer → Bima Bharosa</w:t>
            </w:r>
          </w:p>
        </w:tc>
      </w:tr>
      <w:tr>
        <w:tc>
          <w:tcPr>
            <w:tcW w:type="dxa" w:w="34560"/>
          </w:tcPr>
          <w:p>
            <w:r/>
            <w:r>
              <w:rPr>
                <w:rFonts w:ascii="Calibri" w:hAnsi="Calibri"/>
                <w:b w:val="0"/>
                <w:i w:val="0"/>
                <w:color w:val="1B2A32"/>
                <w:sz w:val="18"/>
              </w:rPr>
              <w:t>Micro-insurance</w:t>
            </w:r>
          </w:p>
        </w:tc>
        <w:tc>
          <w:tcPr>
            <w:tcW w:type="dxa" w:w="51840"/>
          </w:tcPr>
          <w:p>
            <w:r/>
            <w:r>
              <w:rPr>
                <w:rFonts w:ascii="Calibri" w:hAnsi="Calibri"/>
                <w:b w:val="0"/>
                <w:i w:val="0"/>
                <w:color w:val="1B2A32"/>
                <w:sz w:val="18"/>
              </w:rPr>
              <w:t>Servicing; small-claim denial; agent conduct</w:t>
            </w:r>
          </w:p>
        </w:tc>
        <w:tc>
          <w:tcPr>
            <w:tcW w:type="dxa" w:w="57600"/>
          </w:tcPr>
          <w:p>
            <w:r/>
            <w:r>
              <w:rPr>
                <w:rFonts w:ascii="Calibri" w:hAnsi="Calibri"/>
                <w:b w:val="0"/>
                <w:i w:val="0"/>
                <w:color w:val="1B2A32"/>
                <w:sz w:val="18"/>
              </w:rPr>
              <w:t>Insurer grievance → Ombudsman where it is an IRDAI-regulated micro-insurance product</w:t>
            </w:r>
          </w:p>
        </w:tc>
      </w:tr>
    </w:tbl>
    <w:p>
      <w:pPr>
        <w:spacing w:after="40"/>
      </w:pPr>
    </w:p>
    <w:tbl>
      <w:tblPr>
        <w:tblW w:type="auto" w:w="0"/>
        <w:jc w:val="center"/>
        <w:tblLook w:firstColumn="1" w:firstRow="1" w:lastColumn="0" w:lastRow="0" w:noHBand="0" w:noVBand="1" w:val="04A0"/>
      </w:tblPr>
      <w:tblGrid>
        <w:gridCol w:w="9504"/>
      </w:tblGrid>
      <w:tr>
        <w:tc>
          <w:tcPr>
            <w:tcW w:type="dxa" w:w="9360"/>
            <w:shd w:val="clear" w:fill="F6E0E4"/>
            <w:tcBorders>
              <w:start w:val="single" w:sz="22" w:space="0" w:color="B23A48"/>
            </w:tcBorders>
          </w:tcPr>
          <w:p>
            <w:r>
              <w:rPr>
                <w:rFonts w:ascii="Calibri" w:hAnsi="Calibri"/>
                <w:b/>
                <w:i w:val="0"/>
                <w:color w:val="B23A48"/>
                <w:sz w:val="18"/>
              </w:rPr>
              <w:t>PM-JAY IS A HOSPITAL-EMPANELMENT DISPUTE AS MUCH AS A CLAIM DISPUTE</w:t>
            </w:r>
          </w:p>
          <w:p>
            <w:r>
              <w:rPr>
                <w:rFonts w:ascii="Calibri" w:hAnsi="Calibri"/>
                <w:b w:val="0"/>
                <w:i w:val="0"/>
                <w:color w:val="1B2A32"/>
                <w:sz w:val="19"/>
              </w:rPr>
              <w:t xml:space="preserve">Two very different parties bring PM-JAY matters: the </w:t>
            </w:r>
            <w:r>
              <w:rPr>
                <w:rFonts w:ascii="Calibri" w:hAnsi="Calibri"/>
                <w:b/>
                <w:i w:val="0"/>
                <w:color w:val="1B2A32"/>
                <w:sz w:val="19"/>
              </w:rPr>
              <w:t>beneficiary</w:t>
            </w:r>
            <w:r>
              <w:rPr>
                <w:rFonts w:ascii="Calibri" w:hAnsi="Calibri"/>
                <w:b w:val="0"/>
                <w:i w:val="0"/>
                <w:color w:val="1B2A32"/>
                <w:sz w:val="19"/>
              </w:rPr>
              <w:t xml:space="preserve"> denied treatment, and the </w:t>
            </w:r>
            <w:r>
              <w:rPr>
                <w:rFonts w:ascii="Calibri" w:hAnsi="Calibri"/>
                <w:b/>
                <w:i w:val="0"/>
                <w:color w:val="1B2A32"/>
                <w:sz w:val="19"/>
              </w:rPr>
              <w:t>empanelled hospital</w:t>
            </w:r>
            <w:r>
              <w:rPr>
                <w:rFonts w:ascii="Calibri" w:hAnsi="Calibri"/>
                <w:b w:val="0"/>
                <w:i w:val="0"/>
                <w:color w:val="1B2A32"/>
                <w:sz w:val="19"/>
              </w:rPr>
              <w:t xml:space="preserve"> whose claim is rejected or whose dues are held after de-empanelment for suspected fraud. Equator can mediate the hospital-side commercial dispute (dues, package-rate interpretation, conditional re-empanelment) where the State Health Agency is willing; it cannot mediate away a beneficiary's statutory entitlement, and must signpost the beneficiary to the CGRMS ladder.</w:t>
            </w:r>
          </w:p>
        </w:tc>
      </w:tr>
    </w:tbl>
    <w:p>
      <w:pPr>
        <w:spacing w:after="40"/>
      </w:pPr>
    </w:p>
    <w:p>
      <w:pPr>
        <w:keepNext/>
        <w:spacing w:before="200" w:after="60"/>
      </w:pPr>
      <w:r>
        <w:rPr>
          <w:rFonts w:ascii="Calibri" w:hAnsi="Calibri"/>
          <w:b/>
          <w:i w:val="0"/>
          <w:color w:val="1E7A8C"/>
          <w:sz w:val="25"/>
        </w:rPr>
        <w:t>3.4  3.4  Personal accident &amp; travel</w:t>
      </w:r>
    </w:p>
    <w:tbl>
      <w:tblPr>
        <w:tblStyle w:val="TableGrid"/>
        <w:tblW w:type="auto" w:w="0"/>
        <w:jc w:val="center"/>
        <w:tblLook w:firstColumn="1" w:firstRow="1" w:lastColumn="0" w:lastRow="0" w:noHBand="0" w:noVBand="1" w:val="04A0"/>
      </w:tblPr>
      <w:tblGrid>
        <w:gridCol w:w="3168"/>
        <w:gridCol w:w="3168"/>
        <w:gridCol w:w="3168"/>
      </w:tblGrid>
      <w:tr>
        <w:tc>
          <w:tcPr>
            <w:tcW w:type="dxa" w:w="28800"/>
            <w:shd w:val="clear" w:fill="123B4F"/>
          </w:tcPr>
          <w:p>
            <w:r/>
            <w:r>
              <w:rPr>
                <w:rFonts w:ascii="Calibri" w:hAnsi="Calibri"/>
                <w:b/>
                <w:i w:val="0"/>
                <w:color w:val="FFFFFF"/>
                <w:sz w:val="18"/>
              </w:rPr>
              <w:t>Line</w:t>
            </w:r>
          </w:p>
        </w:tc>
        <w:tc>
          <w:tcPr>
            <w:tcW w:type="dxa" w:w="66240"/>
            <w:shd w:val="clear" w:fill="123B4F"/>
          </w:tcPr>
          <w:p>
            <w:r/>
            <w:r>
              <w:rPr>
                <w:rFonts w:ascii="Calibri" w:hAnsi="Calibri"/>
                <w:b/>
                <w:i w:val="0"/>
                <w:color w:val="FFFFFF"/>
                <w:sz w:val="18"/>
              </w:rPr>
              <w:t>Recurring disputes</w:t>
            </w:r>
          </w:p>
        </w:tc>
        <w:tc>
          <w:tcPr>
            <w:tcW w:type="dxa" w:w="48960"/>
            <w:shd w:val="clear" w:fill="123B4F"/>
          </w:tcPr>
          <w:p>
            <w:r/>
            <w:r>
              <w:rPr>
                <w:rFonts w:ascii="Calibri" w:hAnsi="Calibri"/>
                <w:b/>
                <w:i w:val="0"/>
                <w:color w:val="FFFFFF"/>
                <w:sz w:val="18"/>
              </w:rPr>
              <w:t>Key evidence</w:t>
            </w:r>
          </w:p>
        </w:tc>
      </w:tr>
      <w:tr>
        <w:tc>
          <w:tcPr>
            <w:tcW w:type="dxa" w:w="28800"/>
          </w:tcPr>
          <w:p>
            <w:r/>
            <w:r>
              <w:rPr>
                <w:rFonts w:ascii="Calibri" w:hAnsi="Calibri"/>
                <w:b w:val="0"/>
                <w:i w:val="0"/>
                <w:color w:val="1B2A32"/>
                <w:sz w:val="18"/>
              </w:rPr>
              <w:t>Personal accident</w:t>
            </w:r>
          </w:p>
        </w:tc>
        <w:tc>
          <w:tcPr>
            <w:tcW w:type="dxa" w:w="66240"/>
          </w:tcPr>
          <w:p>
            <w:r/>
            <w:r>
              <w:rPr>
                <w:rFonts w:ascii="Calibri" w:hAnsi="Calibri"/>
                <w:b w:val="0"/>
                <w:i w:val="0"/>
                <w:color w:val="1B2A32"/>
                <w:sz w:val="18"/>
              </w:rPr>
              <w:t>Whether the event was an 'accident'; disability percentage; pre-existing contribution; intoxication/self-injury exclusion; disappearance/presumption of death</w:t>
            </w:r>
          </w:p>
        </w:tc>
        <w:tc>
          <w:tcPr>
            <w:tcW w:type="dxa" w:w="48960"/>
          </w:tcPr>
          <w:p>
            <w:r/>
            <w:r>
              <w:rPr>
                <w:rFonts w:ascii="Calibri" w:hAnsi="Calibri"/>
                <w:b w:val="0"/>
                <w:i w:val="0"/>
                <w:color w:val="1B2A32"/>
                <w:sz w:val="18"/>
              </w:rPr>
              <w:t>FIR; post-mortem; disability certificate; treating records</w:t>
            </w:r>
          </w:p>
        </w:tc>
      </w:tr>
      <w:tr>
        <w:tc>
          <w:tcPr>
            <w:tcW w:type="dxa" w:w="28800"/>
            <w:shd w:val="clear" w:fill="F3F7F9"/>
          </w:tcPr>
          <w:p>
            <w:r/>
            <w:r>
              <w:rPr>
                <w:rFonts w:ascii="Calibri" w:hAnsi="Calibri"/>
                <w:b w:val="0"/>
                <w:i w:val="0"/>
                <w:color w:val="1B2A32"/>
                <w:sz w:val="18"/>
              </w:rPr>
              <w:t>Group personal accident</w:t>
            </w:r>
          </w:p>
        </w:tc>
        <w:tc>
          <w:tcPr>
            <w:tcW w:type="dxa" w:w="66240"/>
            <w:shd w:val="clear" w:fill="F3F7F9"/>
          </w:tcPr>
          <w:p>
            <w:r/>
            <w:r>
              <w:rPr>
                <w:rFonts w:ascii="Calibri" w:hAnsi="Calibri"/>
                <w:b w:val="0"/>
                <w:i w:val="0"/>
                <w:color w:val="1B2A32"/>
                <w:sz w:val="18"/>
              </w:rPr>
              <w:t>Cover in force; capital-sum-insured basis; TTD/PTD computation</w:t>
            </w:r>
          </w:p>
        </w:tc>
        <w:tc>
          <w:tcPr>
            <w:tcW w:type="dxa" w:w="48960"/>
            <w:shd w:val="clear" w:fill="F3F7F9"/>
          </w:tcPr>
          <w:p>
            <w:r/>
            <w:r>
              <w:rPr>
                <w:rFonts w:ascii="Calibri" w:hAnsi="Calibri"/>
                <w:b w:val="0"/>
                <w:i w:val="0"/>
                <w:color w:val="1B2A32"/>
                <w:sz w:val="18"/>
              </w:rPr>
              <w:t>Master policy; wage records</w:t>
            </w:r>
          </w:p>
        </w:tc>
      </w:tr>
      <w:tr>
        <w:tc>
          <w:tcPr>
            <w:tcW w:type="dxa" w:w="28800"/>
          </w:tcPr>
          <w:p>
            <w:r/>
            <w:r>
              <w:rPr>
                <w:rFonts w:ascii="Calibri" w:hAnsi="Calibri"/>
                <w:b w:val="0"/>
                <w:i w:val="0"/>
                <w:color w:val="1B2A32"/>
                <w:sz w:val="18"/>
              </w:rPr>
              <w:t>Travel</w:t>
            </w:r>
          </w:p>
        </w:tc>
        <w:tc>
          <w:tcPr>
            <w:tcW w:type="dxa" w:w="66240"/>
          </w:tcPr>
          <w:p>
            <w:r/>
            <w:r>
              <w:rPr>
                <w:rFonts w:ascii="Calibri" w:hAnsi="Calibri"/>
                <w:b w:val="0"/>
                <w:i w:val="0"/>
                <w:color w:val="1B2A32"/>
                <w:sz w:val="18"/>
              </w:rPr>
              <w:t>Pre-existing condition abroad; sub-limits and deductibles in USD; trip-cancellation cause; baggage/loss documentation; hospitalisation network abroad</w:t>
            </w:r>
          </w:p>
        </w:tc>
        <w:tc>
          <w:tcPr>
            <w:tcW w:type="dxa" w:w="48960"/>
          </w:tcPr>
          <w:p>
            <w:r/>
            <w:r>
              <w:rPr>
                <w:rFonts w:ascii="Calibri" w:hAnsi="Calibri"/>
                <w:b w:val="0"/>
                <w:i w:val="0"/>
                <w:color w:val="1B2A32"/>
                <w:sz w:val="18"/>
              </w:rPr>
              <w:t>Overseas bills; airline/PIR reports; policy sub-limit schedule</w:t>
            </w:r>
          </w:p>
        </w:tc>
      </w:tr>
    </w:tbl>
    <w:p>
      <w:pPr>
        <w:spacing w:after="40"/>
      </w:pPr>
    </w:p>
    <w:p>
      <w:pPr>
        <w:keepNext/>
        <w:spacing w:before="200" w:after="60"/>
      </w:pPr>
      <w:r>
        <w:rPr>
          <w:rFonts w:ascii="Calibri" w:hAnsi="Calibri"/>
          <w:b/>
          <w:i w:val="0"/>
          <w:color w:val="1E7A8C"/>
          <w:sz w:val="25"/>
        </w:rPr>
        <w:t>3.5  3.5  Motor insurance</w:t>
      </w:r>
    </w:p>
    <w:p>
      <w:pPr>
        <w:spacing w:after="120"/>
        <w:jc w:val="both"/>
      </w:pPr>
      <w:r>
        <w:rPr>
          <w:rFonts w:ascii="Calibri" w:hAnsi="Calibri"/>
          <w:b w:val="0"/>
          <w:i w:val="0"/>
          <w:color w:val="1B2A32"/>
          <w:sz w:val="21"/>
        </w:rPr>
        <w:t xml:space="preserve">Two clusters: </w:t>
      </w:r>
      <w:r>
        <w:rPr>
          <w:rFonts w:ascii="Calibri" w:hAnsi="Calibri"/>
          <w:b/>
          <w:i w:val="0"/>
          <w:color w:val="1B2A32"/>
          <w:sz w:val="21"/>
        </w:rPr>
        <w:t>quantum</w:t>
      </w:r>
      <w:r>
        <w:rPr>
          <w:rFonts w:ascii="Calibri" w:hAnsi="Calibri"/>
          <w:b w:val="0"/>
          <w:i w:val="0"/>
          <w:color w:val="1B2A32"/>
          <w:sz w:val="21"/>
        </w:rPr>
        <w:t xml:space="preserve"> (IDV, depreciation, salvage, total loss) and </w:t>
      </w:r>
      <w:r>
        <w:rPr>
          <w:rFonts w:ascii="Calibri" w:hAnsi="Calibri"/>
          <w:b/>
          <w:i w:val="0"/>
          <w:color w:val="1B2A32"/>
          <w:sz w:val="21"/>
        </w:rPr>
        <w:t>repudiation on a condition-breach</w:t>
      </w:r>
      <w:r>
        <w:rPr>
          <w:rFonts w:ascii="Calibri" w:hAnsi="Calibri"/>
          <w:b w:val="0"/>
          <w:i w:val="0"/>
          <w:color w:val="1B2A32"/>
          <w:sz w:val="21"/>
        </w:rPr>
        <w:t xml:space="preserve"> (licence, permit, intimation, use contrary to limitations). The second is where Indian case law is most protective of the insured.</w:t>
      </w:r>
    </w:p>
    <w:tbl>
      <w:tblPr>
        <w:tblStyle w:val="TableGrid"/>
        <w:tblW w:type="auto" w:w="0"/>
        <w:jc w:val="center"/>
        <w:tblLook w:firstColumn="1" w:firstRow="1" w:lastColumn="0" w:lastRow="0" w:noHBand="0" w:noVBand="1" w:val="04A0"/>
      </w:tblPr>
      <w:tblGrid>
        <w:gridCol w:w="3168"/>
        <w:gridCol w:w="3168"/>
        <w:gridCol w:w="3168"/>
      </w:tblGrid>
      <w:tr>
        <w:tc>
          <w:tcPr>
            <w:tcW w:type="dxa" w:w="28800"/>
            <w:shd w:val="clear" w:fill="123B4F"/>
          </w:tcPr>
          <w:p>
            <w:r/>
            <w:r>
              <w:rPr>
                <w:rFonts w:ascii="Calibri" w:hAnsi="Calibri"/>
                <w:b/>
                <w:i w:val="0"/>
                <w:color w:val="FFFFFF"/>
                <w:sz w:val="18"/>
              </w:rPr>
              <w:t>Dispute</w:t>
            </w:r>
          </w:p>
        </w:tc>
        <w:tc>
          <w:tcPr>
            <w:tcW w:type="dxa" w:w="43200"/>
            <w:shd w:val="clear" w:fill="123B4F"/>
          </w:tcPr>
          <w:p>
            <w:r/>
            <w:r>
              <w:rPr>
                <w:rFonts w:ascii="Calibri" w:hAnsi="Calibri"/>
                <w:b/>
                <w:i w:val="0"/>
                <w:color w:val="FFFFFF"/>
                <w:sz w:val="18"/>
              </w:rPr>
              <w:t>Position</w:t>
            </w:r>
          </w:p>
        </w:tc>
        <w:tc>
          <w:tcPr>
            <w:tcW w:type="dxa" w:w="72000"/>
            <w:shd w:val="clear" w:fill="123B4F"/>
          </w:tcPr>
          <w:p>
            <w:r/>
            <w:r>
              <w:rPr>
                <w:rFonts w:ascii="Calibri" w:hAnsi="Calibri"/>
                <w:b/>
                <w:i w:val="0"/>
                <w:color w:val="FFFFFF"/>
                <w:sz w:val="18"/>
              </w:rPr>
              <w:t>Practical resolution &amp; authority</w:t>
            </w:r>
          </w:p>
        </w:tc>
      </w:tr>
      <w:tr>
        <w:tc>
          <w:tcPr>
            <w:tcW w:type="dxa" w:w="28800"/>
          </w:tcPr>
          <w:p>
            <w:r/>
            <w:r>
              <w:rPr>
                <w:rFonts w:ascii="Calibri" w:hAnsi="Calibri"/>
                <w:b w:val="0"/>
                <w:i w:val="0"/>
                <w:color w:val="1B2A32"/>
                <w:sz w:val="18"/>
              </w:rPr>
              <w:t>IDV</w:t>
            </w:r>
          </w:p>
        </w:tc>
        <w:tc>
          <w:tcPr>
            <w:tcW w:type="dxa" w:w="43200"/>
          </w:tcPr>
          <w:p>
            <w:r/>
            <w:r>
              <w:rPr>
                <w:rFonts w:ascii="Calibri" w:hAnsi="Calibri"/>
                <w:b w:val="0"/>
                <w:i w:val="0"/>
                <w:color w:val="1B2A32"/>
                <w:sz w:val="18"/>
              </w:rPr>
              <w:t>IDV caps own-damage and total-loss claims and is agreed at inception</w:t>
            </w:r>
          </w:p>
        </w:tc>
        <w:tc>
          <w:tcPr>
            <w:tcW w:type="dxa" w:w="72000"/>
          </w:tcPr>
          <w:p>
            <w:r/>
            <w:r>
              <w:rPr>
                <w:rFonts w:ascii="Calibri" w:hAnsi="Calibri"/>
                <w:b w:val="0"/>
                <w:i w:val="0"/>
                <w:color w:val="1B2A32"/>
                <w:sz w:val="18"/>
              </w:rPr>
              <w:t>Where set by the insurer's system and demonstrably below market, insurers sometimes improve; stronger on auto-renewal</w:t>
            </w:r>
          </w:p>
        </w:tc>
      </w:tr>
      <w:tr>
        <w:tc>
          <w:tcPr>
            <w:tcW w:type="dxa" w:w="28800"/>
            <w:shd w:val="clear" w:fill="F3F7F9"/>
          </w:tcPr>
          <w:p>
            <w:r/>
            <w:r>
              <w:rPr>
                <w:rFonts w:ascii="Calibri" w:hAnsi="Calibri"/>
                <w:b w:val="0"/>
                <w:i w:val="0"/>
                <w:color w:val="1B2A32"/>
                <w:sz w:val="18"/>
              </w:rPr>
              <w:t>Depreciation on parts</w:t>
            </w:r>
          </w:p>
        </w:tc>
        <w:tc>
          <w:tcPr>
            <w:tcW w:type="dxa" w:w="43200"/>
            <w:shd w:val="clear" w:fill="F3F7F9"/>
          </w:tcPr>
          <w:p>
            <w:r/>
            <w:r>
              <w:rPr>
                <w:rFonts w:ascii="Calibri" w:hAnsi="Calibri"/>
                <w:b w:val="0"/>
                <w:i w:val="0"/>
                <w:color w:val="1B2A32"/>
                <w:sz w:val="18"/>
              </w:rPr>
              <w:t>Standard scales unless zero-dep purchased</w:t>
            </w:r>
          </w:p>
        </w:tc>
        <w:tc>
          <w:tcPr>
            <w:tcW w:type="dxa" w:w="72000"/>
            <w:shd w:val="clear" w:fill="F3F7F9"/>
          </w:tcPr>
          <w:p>
            <w:r/>
            <w:r>
              <w:rPr>
                <w:rFonts w:ascii="Calibri" w:hAnsi="Calibri"/>
                <w:b w:val="0"/>
                <w:i w:val="0"/>
                <w:color w:val="1B2A32"/>
                <w:sz w:val="18"/>
              </w:rPr>
              <w:t>Check what add-ons were actually sold; a wrongly-omitted zero-dep add-on is a mis-selling matter</w:t>
            </w:r>
          </w:p>
        </w:tc>
      </w:tr>
      <w:tr>
        <w:tc>
          <w:tcPr>
            <w:tcW w:type="dxa" w:w="28800"/>
          </w:tcPr>
          <w:p>
            <w:r/>
            <w:r>
              <w:rPr>
                <w:rFonts w:ascii="Calibri" w:hAnsi="Calibri"/>
                <w:b w:val="0"/>
                <w:i w:val="0"/>
                <w:color w:val="1B2A32"/>
                <w:sz w:val="18"/>
              </w:rPr>
              <w:t>Salvage / total loss</w:t>
            </w:r>
          </w:p>
        </w:tc>
        <w:tc>
          <w:tcPr>
            <w:tcW w:type="dxa" w:w="43200"/>
          </w:tcPr>
          <w:p>
            <w:r/>
            <w:r>
              <w:rPr>
                <w:rFonts w:ascii="Calibri" w:hAnsi="Calibri"/>
                <w:b w:val="0"/>
                <w:i w:val="0"/>
                <w:color w:val="1B2A32"/>
                <w:sz w:val="18"/>
              </w:rPr>
              <w:t>Salvage deducted where insured retains; total loss near a % of IDV</w:t>
            </w:r>
          </w:p>
        </w:tc>
        <w:tc>
          <w:tcPr>
            <w:tcW w:type="dxa" w:w="72000"/>
          </w:tcPr>
          <w:p>
            <w:r/>
            <w:r>
              <w:rPr>
                <w:rFonts w:ascii="Calibri" w:hAnsi="Calibri"/>
                <w:b w:val="0"/>
                <w:i w:val="0"/>
                <w:color w:val="1B2A32"/>
                <w:sz w:val="18"/>
              </w:rPr>
              <w:t>The salvage valuation is the negotiable element; total loss on IDV with salvage to the insurer removes the argument</w:t>
            </w:r>
          </w:p>
        </w:tc>
      </w:tr>
      <w:tr>
        <w:tc>
          <w:tcPr>
            <w:tcW w:type="dxa" w:w="28800"/>
            <w:shd w:val="clear" w:fill="F3F7F9"/>
          </w:tcPr>
          <w:p>
            <w:r/>
            <w:r>
              <w:rPr>
                <w:rFonts w:ascii="Calibri" w:hAnsi="Calibri"/>
                <w:b w:val="0"/>
                <w:i w:val="0"/>
                <w:color w:val="1B2A32"/>
                <w:sz w:val="18"/>
              </w:rPr>
              <w:t>Licence / permit breach</w:t>
            </w:r>
          </w:p>
        </w:tc>
        <w:tc>
          <w:tcPr>
            <w:tcW w:type="dxa" w:w="43200"/>
            <w:shd w:val="clear" w:fill="F3F7F9"/>
          </w:tcPr>
          <w:p>
            <w:r/>
            <w:r>
              <w:rPr>
                <w:rFonts w:ascii="Calibri" w:hAnsi="Calibri"/>
                <w:b w:val="0"/>
                <w:i w:val="0"/>
                <w:color w:val="1B2A32"/>
                <w:sz w:val="18"/>
              </w:rPr>
              <w:t>Repudiation for no valid licence or permit</w:t>
            </w:r>
          </w:p>
        </w:tc>
        <w:tc>
          <w:tcPr>
            <w:tcW w:type="dxa" w:w="72000"/>
            <w:shd w:val="clear" w:fill="F3F7F9"/>
          </w:tcPr>
          <w:p>
            <w:r/>
            <w:r>
              <w:rPr>
                <w:rFonts w:ascii="Calibri" w:hAnsi="Calibri"/>
                <w:b w:val="0"/>
                <w:i w:val="0"/>
                <w:color w:val="1B2A32"/>
                <w:sz w:val="18"/>
              </w:rPr>
              <w:t xml:space="preserve">The test is whether the breach was </w:t>
            </w:r>
            <w:r>
              <w:rPr>
                <w:rFonts w:ascii="Calibri" w:hAnsi="Calibri"/>
                <w:b/>
                <w:i w:val="0"/>
                <w:color w:val="1B2A32"/>
                <w:sz w:val="18"/>
              </w:rPr>
              <w:t>fundamental and had a nexus with the loss</w:t>
            </w:r>
            <w:r>
              <w:rPr>
                <w:rFonts w:ascii="Calibri" w:hAnsi="Calibri"/>
                <w:b w:val="0"/>
                <w:i w:val="0"/>
                <w:color w:val="1B2A32"/>
                <w:sz w:val="18"/>
              </w:rPr>
              <w:t>; a breach unconnected to the loss does not defeat the claim (*Amalendu Sahoo v. Oriental Insurance*, (2010) 4 SCC 536 [verify pinpoint])</w:t>
            </w:r>
          </w:p>
        </w:tc>
      </w:tr>
      <w:tr>
        <w:tc>
          <w:tcPr>
            <w:tcW w:type="dxa" w:w="28800"/>
          </w:tcPr>
          <w:p>
            <w:r/>
            <w:r>
              <w:rPr>
                <w:rFonts w:ascii="Calibri" w:hAnsi="Calibri"/>
                <w:b w:val="0"/>
                <w:i w:val="0"/>
                <w:color w:val="1B2A32"/>
                <w:sz w:val="18"/>
              </w:rPr>
              <w:t>Theft with a breach</w:t>
            </w:r>
          </w:p>
        </w:tc>
        <w:tc>
          <w:tcPr>
            <w:tcW w:type="dxa" w:w="43200"/>
          </w:tcPr>
          <w:p>
            <w:r/>
            <w:r>
              <w:rPr>
                <w:rFonts w:ascii="Calibri" w:hAnsi="Calibri"/>
                <w:b w:val="0"/>
                <w:i w:val="0"/>
                <w:color w:val="1B2A32"/>
                <w:sz w:val="18"/>
              </w:rPr>
              <w:t>Repudiation citing use/condition breach</w:t>
            </w:r>
          </w:p>
        </w:tc>
        <w:tc>
          <w:tcPr>
            <w:tcW w:type="dxa" w:w="72000"/>
          </w:tcPr>
          <w:p>
            <w:r/>
            <w:r>
              <w:rPr>
                <w:rFonts w:ascii="Calibri" w:hAnsi="Calibri"/>
                <w:b w:val="0"/>
                <w:i w:val="0"/>
                <w:color w:val="1B2A32"/>
                <w:sz w:val="18"/>
              </w:rPr>
              <w:t xml:space="preserve">In theft, the breach usually has no nexus; the insurer must indemnify, though a </w:t>
            </w:r>
            <w:r>
              <w:rPr>
                <w:rFonts w:ascii="Calibri" w:hAnsi="Calibri"/>
                <w:b/>
                <w:i w:val="0"/>
                <w:color w:val="1B2A32"/>
                <w:sz w:val="18"/>
              </w:rPr>
              <w:t>non-standard settlement</w:t>
            </w:r>
            <w:r>
              <w:rPr>
                <w:rFonts w:ascii="Calibri" w:hAnsi="Calibri"/>
                <w:b w:val="0"/>
                <w:i w:val="0"/>
                <w:color w:val="1B2A32"/>
                <w:sz w:val="18"/>
              </w:rPr>
              <w:t xml:space="preserve"> (e.g. 75%) may apply (*National Insurance v. Nitin Khandelwal*, (2008) 11 SCC 259 [verify pinpoint])</w:t>
            </w:r>
          </w:p>
        </w:tc>
      </w:tr>
      <w:tr>
        <w:tc>
          <w:tcPr>
            <w:tcW w:type="dxa" w:w="28800"/>
            <w:shd w:val="clear" w:fill="F3F7F9"/>
          </w:tcPr>
          <w:p>
            <w:r/>
            <w:r>
              <w:rPr>
                <w:rFonts w:ascii="Calibri" w:hAnsi="Calibri"/>
                <w:b w:val="0"/>
                <w:i w:val="0"/>
                <w:color w:val="1B2A32"/>
                <w:sz w:val="18"/>
              </w:rPr>
              <w:t>Delay in intimation</w:t>
            </w:r>
          </w:p>
        </w:tc>
        <w:tc>
          <w:tcPr>
            <w:tcW w:type="dxa" w:w="43200"/>
            <w:shd w:val="clear" w:fill="F3F7F9"/>
          </w:tcPr>
          <w:p>
            <w:r/>
            <w:r>
              <w:rPr>
                <w:rFonts w:ascii="Calibri" w:hAnsi="Calibri"/>
                <w:b w:val="0"/>
                <w:i w:val="0"/>
                <w:color w:val="1B2A32"/>
                <w:sz w:val="18"/>
              </w:rPr>
              <w:t>Immediate intimation required</w:t>
            </w:r>
          </w:p>
        </w:tc>
        <w:tc>
          <w:tcPr>
            <w:tcW w:type="dxa" w:w="72000"/>
            <w:shd w:val="clear" w:fill="F3F7F9"/>
          </w:tcPr>
          <w:p>
            <w:r/>
            <w:r>
              <w:rPr>
                <w:rFonts w:ascii="Calibri" w:hAnsi="Calibri"/>
                <w:b w:val="0"/>
                <w:i w:val="0"/>
                <w:color w:val="1B2A32"/>
                <w:sz w:val="18"/>
              </w:rPr>
              <w:t>Delay alone, without prejudice to investigation, is a weak ground; the market practice is again a non-standard settlement</w:t>
            </w:r>
          </w:p>
        </w:tc>
      </w:tr>
      <w:tr>
        <w:tc>
          <w:tcPr>
            <w:tcW w:type="dxa" w:w="28800"/>
          </w:tcPr>
          <w:p>
            <w:r/>
            <w:r>
              <w:rPr>
                <w:rFonts w:ascii="Calibri" w:hAnsi="Calibri"/>
                <w:b w:val="0"/>
                <w:i w:val="0"/>
                <w:color w:val="1B2A32"/>
                <w:sz w:val="18"/>
              </w:rPr>
              <w:t>Third-party injury/death</w:t>
            </w:r>
          </w:p>
        </w:tc>
        <w:tc>
          <w:tcPr>
            <w:tcW w:type="dxa" w:w="43200"/>
          </w:tcPr>
          <w:p>
            <w:r/>
            <w:r>
              <w:rPr>
                <w:rFonts w:ascii="Calibri" w:hAnsi="Calibri"/>
                <w:b w:val="0"/>
                <w:i w:val="0"/>
                <w:color w:val="1B2A32"/>
                <w:sz w:val="18"/>
              </w:rPr>
              <w:t>Not an Ombudsman or consumer matter</w:t>
            </w:r>
          </w:p>
        </w:tc>
        <w:tc>
          <w:tcPr>
            <w:tcW w:type="dxa" w:w="72000"/>
          </w:tcPr>
          <w:p>
            <w:r/>
            <w:r>
              <w:rPr>
                <w:rFonts w:ascii="Calibri" w:hAnsi="Calibri"/>
                <w:b/>
                <w:i w:val="0"/>
                <w:color w:val="1B2A32"/>
                <w:sz w:val="18"/>
              </w:rPr>
              <w:t>Motor Accidents Claims Tribunal</w:t>
            </w:r>
            <w:r>
              <w:rPr>
                <w:rFonts w:ascii="Calibri" w:hAnsi="Calibri"/>
                <w:b w:val="0"/>
                <w:i w:val="0"/>
                <w:color w:val="1B2A32"/>
                <w:sz w:val="18"/>
              </w:rPr>
              <w:t xml:space="preserve"> under the Motor Vehicles Act; Equator's role is limited to quantum where all consent, and signposting</w:t>
            </w:r>
          </w:p>
        </w:tc>
      </w:tr>
    </w:tbl>
    <w:p>
      <w:pPr>
        <w:spacing w:after="40"/>
      </w:pPr>
    </w:p>
    <w:tbl>
      <w:tblPr>
        <w:tblW w:type="auto" w:w="0"/>
        <w:jc w:val="center"/>
        <w:tblLook w:firstColumn="1" w:firstRow="1" w:lastColumn="0" w:lastRow="0" w:noHBand="0" w:noVBand="1" w:val="04A0"/>
      </w:tblPr>
      <w:tblGrid>
        <w:gridCol w:w="9504"/>
      </w:tblGrid>
      <w:tr>
        <w:tc>
          <w:tcPr>
            <w:tcW w:type="dxa" w:w="9360"/>
            <w:shd w:val="clear" w:fill="F5ECD6"/>
            <w:tcBorders>
              <w:start w:val="single" w:sz="22" w:space="0" w:color="C6A15B"/>
            </w:tcBorders>
          </w:tcPr>
          <w:p>
            <w:r>
              <w:rPr>
                <w:rFonts w:ascii="Calibri" w:hAnsi="Calibri"/>
                <w:b/>
                <w:i w:val="0"/>
                <w:color w:val="123B4F"/>
                <w:sz w:val="18"/>
              </w:rPr>
              <w:t>THE NON-STANDARD SETTLEMENT — THE MOTOR MEDIATION IN ONE MOVE</w:t>
            </w:r>
          </w:p>
          <w:p>
            <w:r>
              <w:rPr>
                <w:rFonts w:ascii="Calibri" w:hAnsi="Calibri"/>
                <w:b w:val="0"/>
                <w:i w:val="0"/>
                <w:color w:val="1B2A32"/>
                <w:sz w:val="19"/>
              </w:rPr>
              <w:t xml:space="preserve">Indian motor practice settles a technical breach by paying a </w:t>
            </w:r>
            <w:r>
              <w:rPr>
                <w:rFonts w:ascii="Calibri" w:hAnsi="Calibri"/>
                <w:b/>
                <w:i w:val="0"/>
                <w:color w:val="1B2A32"/>
                <w:sz w:val="19"/>
              </w:rPr>
              <w:t>percentage of the assessed loss</w:t>
            </w:r>
            <w:r>
              <w:rPr>
                <w:rFonts w:ascii="Calibri" w:hAnsi="Calibri"/>
                <w:b w:val="0"/>
                <w:i w:val="0"/>
                <w:color w:val="1B2A32"/>
                <w:sz w:val="19"/>
              </w:rPr>
              <w:t xml:space="preserve"> — commonly 75% — rather than repudiating outright, precisely because courts have declined to let technical breaches defeat claims (*Amalendu Sahoo*; *Nitin Khandelwal*). A neutral who knows this can move a motor dispute from 'repudiated' to 'settled at a percentage' in a single session. [verify — the customary percentage and any current regulatory basis]</w:t>
            </w:r>
          </w:p>
        </w:tc>
      </w:tr>
    </w:tbl>
    <w:p>
      <w:pPr>
        <w:spacing w:after="40"/>
      </w:pPr>
    </w:p>
    <w:p>
      <w:pPr>
        <w:keepNext/>
        <w:spacing w:before="200" w:after="60"/>
      </w:pPr>
      <w:r>
        <w:rPr>
          <w:rFonts w:ascii="Calibri" w:hAnsi="Calibri"/>
          <w:b/>
          <w:i w:val="0"/>
          <w:color w:val="1E7A8C"/>
          <w:sz w:val="25"/>
        </w:rPr>
        <w:t>3.6  3.6  Home &amp; householder (retail property)</w:t>
      </w:r>
    </w:p>
    <w:tbl>
      <w:tblPr>
        <w:tblStyle w:val="TableGrid"/>
        <w:tblW w:type="auto" w:w="0"/>
        <w:jc w:val="center"/>
        <w:tblLook w:firstColumn="1" w:firstRow="1" w:lastColumn="0" w:lastRow="0" w:noHBand="0" w:noVBand="1" w:val="04A0"/>
      </w:tblPr>
      <w:tblGrid>
        <w:gridCol w:w="3168"/>
        <w:gridCol w:w="3168"/>
        <w:gridCol w:w="3168"/>
      </w:tblGrid>
      <w:tr>
        <w:tc>
          <w:tcPr>
            <w:tcW w:type="dxa" w:w="37440"/>
            <w:shd w:val="clear" w:fill="123B4F"/>
          </w:tcPr>
          <w:p>
            <w:r/>
            <w:r>
              <w:rPr>
                <w:rFonts w:ascii="Calibri" w:hAnsi="Calibri"/>
                <w:b/>
                <w:i w:val="0"/>
                <w:color w:val="FFFFFF"/>
                <w:sz w:val="18"/>
              </w:rPr>
              <w:t>Dispute</w:t>
            </w:r>
          </w:p>
        </w:tc>
        <w:tc>
          <w:tcPr>
            <w:tcW w:type="dxa" w:w="46080"/>
            <w:shd w:val="clear" w:fill="123B4F"/>
          </w:tcPr>
          <w:p>
            <w:r/>
            <w:r>
              <w:rPr>
                <w:rFonts w:ascii="Calibri" w:hAnsi="Calibri"/>
                <w:b/>
                <w:i w:val="0"/>
                <w:color w:val="FFFFFF"/>
                <w:sz w:val="18"/>
              </w:rPr>
              <w:t>Position</w:t>
            </w:r>
          </w:p>
        </w:tc>
        <w:tc>
          <w:tcPr>
            <w:tcW w:type="dxa" w:w="60480"/>
            <w:shd w:val="clear" w:fill="123B4F"/>
          </w:tcPr>
          <w:p>
            <w:r/>
            <w:r>
              <w:rPr>
                <w:rFonts w:ascii="Calibri" w:hAnsi="Calibri"/>
                <w:b/>
                <w:i w:val="0"/>
                <w:color w:val="FFFFFF"/>
                <w:sz w:val="18"/>
              </w:rPr>
              <w:t>Resolution</w:t>
            </w:r>
          </w:p>
        </w:tc>
      </w:tr>
      <w:tr>
        <w:tc>
          <w:tcPr>
            <w:tcW w:type="dxa" w:w="37440"/>
          </w:tcPr>
          <w:p>
            <w:r/>
            <w:r>
              <w:rPr>
                <w:rFonts w:ascii="Calibri" w:hAnsi="Calibri"/>
                <w:b w:val="0"/>
                <w:i w:val="0"/>
                <w:color w:val="1B2A32"/>
                <w:sz w:val="18"/>
              </w:rPr>
              <w:t>Structure vs contents split</w:t>
            </w:r>
          </w:p>
        </w:tc>
        <w:tc>
          <w:tcPr>
            <w:tcW w:type="dxa" w:w="46080"/>
          </w:tcPr>
          <w:p>
            <w:r/>
            <w:r>
              <w:rPr>
                <w:rFonts w:ascii="Calibri" w:hAnsi="Calibri"/>
                <w:b w:val="0"/>
                <w:i w:val="0"/>
                <w:color w:val="1B2A32"/>
                <w:sz w:val="18"/>
              </w:rPr>
              <w:t>Loss allocated to the head with lower cover</w:t>
            </w:r>
          </w:p>
        </w:tc>
        <w:tc>
          <w:tcPr>
            <w:tcW w:type="dxa" w:w="60480"/>
          </w:tcPr>
          <w:p>
            <w:r/>
            <w:r>
              <w:rPr>
                <w:rFonts w:ascii="Calibri" w:hAnsi="Calibri"/>
                <w:b w:val="0"/>
                <w:i w:val="0"/>
                <w:color w:val="1B2A32"/>
                <w:sz w:val="18"/>
              </w:rPr>
              <w:t>Bharat Griha Raksha standardised wording; check the schedule's split and indexation</w:t>
            </w:r>
          </w:p>
        </w:tc>
      </w:tr>
      <w:tr>
        <w:tc>
          <w:tcPr>
            <w:tcW w:type="dxa" w:w="37440"/>
            <w:shd w:val="clear" w:fill="F3F7F9"/>
          </w:tcPr>
          <w:p>
            <w:r/>
            <w:r>
              <w:rPr>
                <w:rFonts w:ascii="Calibri" w:hAnsi="Calibri"/>
                <w:b w:val="0"/>
                <w:i w:val="0"/>
                <w:color w:val="1B2A32"/>
                <w:sz w:val="18"/>
              </w:rPr>
              <w:t>Underinsurance on the building</w:t>
            </w:r>
          </w:p>
        </w:tc>
        <w:tc>
          <w:tcPr>
            <w:tcW w:type="dxa" w:w="46080"/>
            <w:shd w:val="clear" w:fill="F3F7F9"/>
          </w:tcPr>
          <w:p>
            <w:r/>
            <w:r>
              <w:rPr>
                <w:rFonts w:ascii="Calibri" w:hAnsi="Calibri"/>
                <w:b w:val="0"/>
                <w:i w:val="0"/>
                <w:color w:val="1B2A32"/>
                <w:sz w:val="18"/>
              </w:rPr>
              <w:t>Average applied to the structure claim</w:t>
            </w:r>
          </w:p>
        </w:tc>
        <w:tc>
          <w:tcPr>
            <w:tcW w:type="dxa" w:w="60480"/>
            <w:shd w:val="clear" w:fill="F3F7F9"/>
          </w:tcPr>
          <w:p>
            <w:r/>
            <w:r>
              <w:rPr>
                <w:rFonts w:ascii="Calibri" w:hAnsi="Calibri"/>
                <w:b w:val="0"/>
                <w:i w:val="0"/>
                <w:color w:val="1B2A32"/>
                <w:sz w:val="18"/>
              </w:rPr>
              <w:t>Reinstatement-value basis and the sum-insured guidance; average is often softened on retail dwelling policies</w:t>
            </w:r>
          </w:p>
        </w:tc>
      </w:tr>
      <w:tr>
        <w:tc>
          <w:tcPr>
            <w:tcW w:type="dxa" w:w="37440"/>
          </w:tcPr>
          <w:p>
            <w:r/>
            <w:r>
              <w:rPr>
                <w:rFonts w:ascii="Calibri" w:hAnsi="Calibri"/>
                <w:b w:val="0"/>
                <w:i w:val="0"/>
                <w:color w:val="1B2A32"/>
                <w:sz w:val="18"/>
              </w:rPr>
              <w:t>Burglary / theft proof</w:t>
            </w:r>
          </w:p>
        </w:tc>
        <w:tc>
          <w:tcPr>
            <w:tcW w:type="dxa" w:w="46080"/>
          </w:tcPr>
          <w:p>
            <w:r/>
            <w:r>
              <w:rPr>
                <w:rFonts w:ascii="Calibri" w:hAnsi="Calibri"/>
                <w:b w:val="0"/>
                <w:i w:val="0"/>
                <w:color w:val="1B2A32"/>
                <w:sz w:val="18"/>
              </w:rPr>
              <w:t>Forced-entry evidence lacking</w:t>
            </w:r>
          </w:p>
        </w:tc>
        <w:tc>
          <w:tcPr>
            <w:tcW w:type="dxa" w:w="60480"/>
          </w:tcPr>
          <w:p>
            <w:r/>
            <w:r>
              <w:rPr>
                <w:rFonts w:ascii="Calibri" w:hAnsi="Calibri"/>
                <w:b w:val="0"/>
                <w:i w:val="0"/>
                <w:color w:val="1B2A32"/>
                <w:sz w:val="18"/>
              </w:rPr>
              <w:t>FIR; investigation; contra proferentem on ambiguous 'forcible entry' definitions</w:t>
            </w:r>
          </w:p>
        </w:tc>
      </w:tr>
      <w:tr>
        <w:tc>
          <w:tcPr>
            <w:tcW w:type="dxa" w:w="37440"/>
            <w:shd w:val="clear" w:fill="F3F7F9"/>
          </w:tcPr>
          <w:p>
            <w:r/>
            <w:r>
              <w:rPr>
                <w:rFonts w:ascii="Calibri" w:hAnsi="Calibri"/>
                <w:b w:val="0"/>
                <w:i w:val="0"/>
                <w:color w:val="1B2A32"/>
                <w:sz w:val="18"/>
              </w:rPr>
              <w:t>Valuables all-risk</w:t>
            </w:r>
          </w:p>
        </w:tc>
        <w:tc>
          <w:tcPr>
            <w:tcW w:type="dxa" w:w="46080"/>
            <w:shd w:val="clear" w:fill="F3F7F9"/>
          </w:tcPr>
          <w:p>
            <w:r/>
            <w:r>
              <w:rPr>
                <w:rFonts w:ascii="Calibri" w:hAnsi="Calibri"/>
                <w:b w:val="0"/>
                <w:i w:val="0"/>
                <w:color w:val="1B2A32"/>
                <w:sz w:val="18"/>
              </w:rPr>
              <w:t>Depreciation; valuation of jewellery</w:t>
            </w:r>
          </w:p>
        </w:tc>
        <w:tc>
          <w:tcPr>
            <w:tcW w:type="dxa" w:w="60480"/>
            <w:shd w:val="clear" w:fill="F3F7F9"/>
          </w:tcPr>
          <w:p>
            <w:r/>
            <w:r>
              <w:rPr>
                <w:rFonts w:ascii="Calibri" w:hAnsi="Calibri"/>
                <w:b w:val="0"/>
                <w:i w:val="0"/>
                <w:color w:val="1B2A32"/>
                <w:sz w:val="18"/>
              </w:rPr>
              <w:t>Original invoices; valuer's certificate; agreed-value endorsement where taken</w:t>
            </w:r>
          </w:p>
        </w:tc>
      </w:tr>
    </w:tbl>
    <w:p>
      <w:pPr>
        <w:spacing w:after="40"/>
      </w:pPr>
    </w:p>
    <w:p>
      <w:pPr>
        <w:keepNext/>
        <w:spacing w:before="200" w:after="60"/>
      </w:pPr>
      <w:r>
        <w:rPr>
          <w:rFonts w:ascii="Calibri" w:hAnsi="Calibri"/>
          <w:b/>
          <w:i w:val="0"/>
          <w:color w:val="1E7A8C"/>
          <w:sz w:val="25"/>
        </w:rPr>
        <w:t>3.7  3.7  Fire &amp; commercial property (incl. business interruption)</w:t>
      </w:r>
    </w:p>
    <w:p>
      <w:pPr>
        <w:spacing w:after="120"/>
        <w:jc w:val="both"/>
      </w:pPr>
      <w:r>
        <w:rPr>
          <w:rFonts w:ascii="Calibri" w:hAnsi="Calibri"/>
          <w:b w:val="0"/>
          <w:i w:val="0"/>
          <w:color w:val="1B2A32"/>
          <w:sz w:val="21"/>
        </w:rPr>
        <w:t>Commercial property disputes are quantum disputes far more often than coverage disputes — and quantum is what mediation does best. The 2021 standardised products (Bharat Sookshma Udyam and Bharat Laghu Udyam for smaller risks) reduced wording disputes but not valuation disputes.</w:t>
      </w:r>
    </w:p>
    <w:tbl>
      <w:tblPr>
        <w:tblStyle w:val="TableGrid"/>
        <w:tblW w:type="auto" w:w="0"/>
        <w:jc w:val="center"/>
        <w:tblLook w:firstColumn="1" w:firstRow="1" w:lastColumn="0" w:lastRow="0" w:noHBand="0" w:noVBand="1" w:val="04A0"/>
      </w:tblPr>
      <w:tblGrid>
        <w:gridCol w:w="3168"/>
        <w:gridCol w:w="3168"/>
        <w:gridCol w:w="3168"/>
      </w:tblGrid>
      <w:tr>
        <w:tc>
          <w:tcPr>
            <w:tcW w:type="dxa" w:w="31680"/>
            <w:shd w:val="clear" w:fill="123B4F"/>
          </w:tcPr>
          <w:p>
            <w:r/>
            <w:r>
              <w:rPr>
                <w:rFonts w:ascii="Calibri" w:hAnsi="Calibri"/>
                <w:b/>
                <w:i w:val="0"/>
                <w:color w:val="FFFFFF"/>
                <w:sz w:val="18"/>
              </w:rPr>
              <w:t>Dispute</w:t>
            </w:r>
          </w:p>
        </w:tc>
        <w:tc>
          <w:tcPr>
            <w:tcW w:type="dxa" w:w="51840"/>
            <w:shd w:val="clear" w:fill="123B4F"/>
          </w:tcPr>
          <w:p>
            <w:r/>
            <w:r>
              <w:rPr>
                <w:rFonts w:ascii="Calibri" w:hAnsi="Calibri"/>
                <w:b/>
                <w:i w:val="0"/>
                <w:color w:val="FFFFFF"/>
                <w:sz w:val="18"/>
              </w:rPr>
              <w:t>Mechanics</w:t>
            </w:r>
          </w:p>
        </w:tc>
        <w:tc>
          <w:tcPr>
            <w:tcW w:type="dxa" w:w="60480"/>
            <w:shd w:val="clear" w:fill="123B4F"/>
          </w:tcPr>
          <w:p>
            <w:r/>
            <w:r>
              <w:rPr>
                <w:rFonts w:ascii="Calibri" w:hAnsi="Calibri"/>
                <w:b/>
                <w:i w:val="0"/>
                <w:color w:val="FFFFFF"/>
                <w:sz w:val="18"/>
              </w:rPr>
              <w:t>The mediable element</w:t>
            </w:r>
          </w:p>
        </w:tc>
      </w:tr>
      <w:tr>
        <w:tc>
          <w:tcPr>
            <w:tcW w:type="dxa" w:w="31680"/>
          </w:tcPr>
          <w:p>
            <w:r/>
            <w:r>
              <w:rPr>
                <w:rFonts w:ascii="Calibri" w:hAnsi="Calibri"/>
                <w:b w:val="0"/>
                <w:i w:val="0"/>
                <w:color w:val="1B2A32"/>
                <w:sz w:val="18"/>
              </w:rPr>
              <w:t>Survey &amp; assessment</w:t>
            </w:r>
          </w:p>
        </w:tc>
        <w:tc>
          <w:tcPr>
            <w:tcW w:type="dxa" w:w="51840"/>
          </w:tcPr>
          <w:p>
            <w:r/>
            <w:r>
              <w:rPr>
                <w:rFonts w:ascii="Calibri" w:hAnsi="Calibri"/>
                <w:b w:val="0"/>
                <w:i w:val="0"/>
                <w:color w:val="1B2A32"/>
                <w:sz w:val="18"/>
              </w:rPr>
              <w:t>A licensed surveyor assesses the loss; the report drives the offer</w:t>
            </w:r>
          </w:p>
        </w:tc>
        <w:tc>
          <w:tcPr>
            <w:tcW w:type="dxa" w:w="60480"/>
          </w:tcPr>
          <w:p>
            <w:r/>
            <w:r>
              <w:rPr>
                <w:rFonts w:ascii="Calibri" w:hAnsi="Calibri"/>
                <w:b w:val="0"/>
                <w:i w:val="0"/>
                <w:color w:val="1B2A32"/>
                <w:sz w:val="18"/>
              </w:rPr>
              <w:t>Whether the report was shared and the insured could comment; a joint re-survey or agreed independent assessor is a standard mediated step</w:t>
            </w:r>
          </w:p>
        </w:tc>
      </w:tr>
      <w:tr>
        <w:tc>
          <w:tcPr>
            <w:tcW w:type="dxa" w:w="31680"/>
            <w:shd w:val="clear" w:fill="F3F7F9"/>
          </w:tcPr>
          <w:p>
            <w:r/>
            <w:r>
              <w:rPr>
                <w:rFonts w:ascii="Calibri" w:hAnsi="Calibri"/>
                <w:b w:val="0"/>
                <w:i w:val="0"/>
                <w:color w:val="1B2A32"/>
                <w:sz w:val="18"/>
              </w:rPr>
              <w:t>Underinsurance / average</w:t>
            </w:r>
          </w:p>
        </w:tc>
        <w:tc>
          <w:tcPr>
            <w:tcW w:type="dxa" w:w="51840"/>
            <w:shd w:val="clear" w:fill="F3F7F9"/>
          </w:tcPr>
          <w:p>
            <w:r/>
            <w:r>
              <w:rPr>
                <w:rFonts w:ascii="Calibri" w:hAnsi="Calibri"/>
                <w:b w:val="0"/>
                <w:i w:val="0"/>
                <w:color w:val="1B2A32"/>
                <w:sz w:val="18"/>
              </w:rPr>
              <w:t>Sum insured below value at risk → claim reduced pro-rata</w:t>
            </w:r>
          </w:p>
        </w:tc>
        <w:tc>
          <w:tcPr>
            <w:tcW w:type="dxa" w:w="60480"/>
            <w:shd w:val="clear" w:fill="F3F7F9"/>
          </w:tcPr>
          <w:p>
            <w:r/>
            <w:r>
              <w:rPr>
                <w:rFonts w:ascii="Calibri" w:hAnsi="Calibri"/>
                <w:b w:val="0"/>
                <w:i w:val="0"/>
                <w:color w:val="1B2A32"/>
                <w:sz w:val="18"/>
              </w:rPr>
              <w:t>The valuation basis and date; where a broker set the sum insured, a three-way conversation unlocks it</w:t>
            </w:r>
          </w:p>
        </w:tc>
      </w:tr>
      <w:tr>
        <w:tc>
          <w:tcPr>
            <w:tcW w:type="dxa" w:w="31680"/>
          </w:tcPr>
          <w:p>
            <w:r/>
            <w:r>
              <w:rPr>
                <w:rFonts w:ascii="Calibri" w:hAnsi="Calibri"/>
                <w:b w:val="0"/>
                <w:i w:val="0"/>
                <w:color w:val="1B2A32"/>
                <w:sz w:val="18"/>
              </w:rPr>
              <w:t>Basis of indemnity</w:t>
            </w:r>
          </w:p>
        </w:tc>
        <w:tc>
          <w:tcPr>
            <w:tcW w:type="dxa" w:w="51840"/>
          </w:tcPr>
          <w:p>
            <w:r/>
            <w:r>
              <w:rPr>
                <w:rFonts w:ascii="Calibri" w:hAnsi="Calibri"/>
                <w:b w:val="0"/>
                <w:i w:val="0"/>
                <w:color w:val="1B2A32"/>
                <w:sz w:val="18"/>
              </w:rPr>
              <w:t>Reinstatement vs market value vs agreed value</w:t>
            </w:r>
          </w:p>
        </w:tc>
        <w:tc>
          <w:tcPr>
            <w:tcW w:type="dxa" w:w="60480"/>
          </w:tcPr>
          <w:p>
            <w:r/>
            <w:r>
              <w:rPr>
                <w:rFonts w:ascii="Calibri" w:hAnsi="Calibri"/>
                <w:b w:val="0"/>
                <w:i w:val="0"/>
                <w:color w:val="1B2A32"/>
                <w:sz w:val="18"/>
              </w:rPr>
              <w:t>Often a schedule-vs-wording mismatch resolved by construction; contra proferentem assists the insured</w:t>
            </w:r>
          </w:p>
        </w:tc>
      </w:tr>
      <w:tr>
        <w:tc>
          <w:tcPr>
            <w:tcW w:type="dxa" w:w="31680"/>
            <w:shd w:val="clear" w:fill="F3F7F9"/>
          </w:tcPr>
          <w:p>
            <w:r/>
            <w:r>
              <w:rPr>
                <w:rFonts w:ascii="Calibri" w:hAnsi="Calibri"/>
                <w:b w:val="0"/>
                <w:i w:val="0"/>
                <w:color w:val="1B2A32"/>
                <w:sz w:val="18"/>
              </w:rPr>
              <w:t>Business interruption</w:t>
            </w:r>
          </w:p>
        </w:tc>
        <w:tc>
          <w:tcPr>
            <w:tcW w:type="dxa" w:w="51840"/>
            <w:shd w:val="clear" w:fill="F3F7F9"/>
          </w:tcPr>
          <w:p>
            <w:r/>
            <w:r>
              <w:rPr>
                <w:rFonts w:ascii="Calibri" w:hAnsi="Calibri"/>
                <w:b w:val="0"/>
                <w:i w:val="0"/>
                <w:color w:val="1B2A32"/>
                <w:sz w:val="18"/>
              </w:rPr>
              <w:t>Indemnity period, gross-profit definition, standing charges, savings</w:t>
            </w:r>
          </w:p>
        </w:tc>
        <w:tc>
          <w:tcPr>
            <w:tcW w:type="dxa" w:w="60480"/>
            <w:shd w:val="clear" w:fill="F3F7F9"/>
          </w:tcPr>
          <w:p>
            <w:r/>
            <w:r>
              <w:rPr>
                <w:rFonts w:ascii="Calibri" w:hAnsi="Calibri"/>
                <w:b w:val="0"/>
                <w:i w:val="0"/>
                <w:color w:val="1B2A32"/>
                <w:sz w:val="18"/>
              </w:rPr>
              <w:t>Almost pure accounting — a jointly instructed forensic accountant is the classic device</w:t>
            </w:r>
          </w:p>
        </w:tc>
      </w:tr>
      <w:tr>
        <w:tc>
          <w:tcPr>
            <w:tcW w:type="dxa" w:w="31680"/>
          </w:tcPr>
          <w:p>
            <w:r/>
            <w:r>
              <w:rPr>
                <w:rFonts w:ascii="Calibri" w:hAnsi="Calibri"/>
                <w:b w:val="0"/>
                <w:i w:val="0"/>
                <w:color w:val="1B2A32"/>
                <w:sz w:val="18"/>
              </w:rPr>
              <w:t>Warranty / condition precedent</w:t>
            </w:r>
          </w:p>
        </w:tc>
        <w:tc>
          <w:tcPr>
            <w:tcW w:type="dxa" w:w="51840"/>
          </w:tcPr>
          <w:p>
            <w:r/>
            <w:r>
              <w:rPr>
                <w:rFonts w:ascii="Calibri" w:hAnsi="Calibri"/>
                <w:b w:val="0"/>
                <w:i w:val="0"/>
                <w:color w:val="1B2A32"/>
                <w:sz w:val="18"/>
              </w:rPr>
              <w:t>Breach may defeat the claim</w:t>
            </w:r>
          </w:p>
        </w:tc>
        <w:tc>
          <w:tcPr>
            <w:tcW w:type="dxa" w:w="60480"/>
          </w:tcPr>
          <w:p>
            <w:r/>
            <w:r>
              <w:rPr>
                <w:rFonts w:ascii="Calibri" w:hAnsi="Calibri"/>
                <w:b w:val="0"/>
                <w:i w:val="0"/>
                <w:color w:val="1B2A32"/>
                <w:sz w:val="18"/>
              </w:rPr>
              <w:t>Severity and nexus; partial settlements are common</w:t>
            </w:r>
          </w:p>
        </w:tc>
      </w:tr>
      <w:tr>
        <w:tc>
          <w:tcPr>
            <w:tcW w:type="dxa" w:w="31680"/>
            <w:shd w:val="clear" w:fill="F3F7F9"/>
          </w:tcPr>
          <w:p>
            <w:r/>
            <w:r>
              <w:rPr>
                <w:rFonts w:ascii="Calibri" w:hAnsi="Calibri"/>
                <w:b w:val="0"/>
                <w:i w:val="0"/>
                <w:color w:val="1B2A32"/>
                <w:sz w:val="18"/>
              </w:rPr>
              <w:t>Excluded perils</w:t>
            </w:r>
          </w:p>
        </w:tc>
        <w:tc>
          <w:tcPr>
            <w:tcW w:type="dxa" w:w="51840"/>
            <w:shd w:val="clear" w:fill="F3F7F9"/>
          </w:tcPr>
          <w:p>
            <w:r/>
            <w:r>
              <w:rPr>
                <w:rFonts w:ascii="Calibri" w:hAnsi="Calibri"/>
                <w:b w:val="0"/>
                <w:i w:val="0"/>
                <w:color w:val="1B2A32"/>
                <w:sz w:val="18"/>
              </w:rPr>
              <w:t>War, terrorism, nuclear, and (post-2020) virus/pandemic exclusions</w:t>
            </w:r>
          </w:p>
        </w:tc>
        <w:tc>
          <w:tcPr>
            <w:tcW w:type="dxa" w:w="60480"/>
            <w:shd w:val="clear" w:fill="F3F7F9"/>
          </w:tcPr>
          <w:p>
            <w:r/>
            <w:r>
              <w:rPr>
                <w:rFonts w:ascii="Calibri" w:hAnsi="Calibri"/>
                <w:b w:val="0"/>
                <w:i w:val="0"/>
                <w:color w:val="1B2A32"/>
                <w:sz w:val="18"/>
              </w:rPr>
              <w:t>Where the trigger ('direct physical loss or damage') or the exclusion wording is contested — see the BI &amp; Emerging-Risk supplement</w:t>
            </w:r>
          </w:p>
        </w:tc>
      </w:tr>
    </w:tbl>
    <w:p>
      <w:pPr>
        <w:spacing w:after="40"/>
      </w:pPr>
    </w:p>
    <w:p>
      <w:pPr>
        <w:keepNext/>
        <w:spacing w:before="200" w:after="60"/>
      </w:pPr>
      <w:r>
        <w:rPr>
          <w:rFonts w:ascii="Calibri" w:hAnsi="Calibri"/>
          <w:b/>
          <w:i w:val="0"/>
          <w:color w:val="1E7A8C"/>
          <w:sz w:val="25"/>
        </w:rPr>
        <w:t>3.8  3.8  Marine (cargo, hull, transit)</w:t>
      </w:r>
    </w:p>
    <w:tbl>
      <w:tblPr>
        <w:tblStyle w:val="TableGrid"/>
        <w:tblW w:type="auto" w:w="0"/>
        <w:jc w:val="center"/>
        <w:tblLook w:firstColumn="1" w:firstRow="1" w:lastColumn="0" w:lastRow="0" w:noHBand="0" w:noVBand="1" w:val="04A0"/>
      </w:tblPr>
      <w:tblGrid>
        <w:gridCol w:w="3168"/>
        <w:gridCol w:w="3168"/>
        <w:gridCol w:w="3168"/>
      </w:tblGrid>
      <w:tr>
        <w:tc>
          <w:tcPr>
            <w:tcW w:type="dxa" w:w="34560"/>
            <w:shd w:val="clear" w:fill="123B4F"/>
          </w:tcPr>
          <w:p>
            <w:r/>
            <w:r>
              <w:rPr>
                <w:rFonts w:ascii="Calibri" w:hAnsi="Calibri"/>
                <w:b/>
                <w:i w:val="0"/>
                <w:color w:val="FFFFFF"/>
                <w:sz w:val="18"/>
              </w:rPr>
              <w:t>Sub-line</w:t>
            </w:r>
          </w:p>
        </w:tc>
        <w:tc>
          <w:tcPr>
            <w:tcW w:type="dxa" w:w="57600"/>
            <w:shd w:val="clear" w:fill="123B4F"/>
          </w:tcPr>
          <w:p>
            <w:r/>
            <w:r>
              <w:rPr>
                <w:rFonts w:ascii="Calibri" w:hAnsi="Calibri"/>
                <w:b/>
                <w:i w:val="0"/>
                <w:color w:val="FFFFFF"/>
                <w:sz w:val="18"/>
              </w:rPr>
              <w:t>Recurring disputes</w:t>
            </w:r>
          </w:p>
        </w:tc>
        <w:tc>
          <w:tcPr>
            <w:tcW w:type="dxa" w:w="51840"/>
            <w:shd w:val="clear" w:fill="123B4F"/>
          </w:tcPr>
          <w:p>
            <w:r/>
            <w:r>
              <w:rPr>
                <w:rFonts w:ascii="Calibri" w:hAnsi="Calibri"/>
                <w:b/>
                <w:i w:val="0"/>
                <w:color w:val="FFFFFF"/>
                <w:sz w:val="18"/>
              </w:rPr>
              <w:t>Key document / principle</w:t>
            </w:r>
          </w:p>
        </w:tc>
      </w:tr>
      <w:tr>
        <w:tc>
          <w:tcPr>
            <w:tcW w:type="dxa" w:w="34560"/>
          </w:tcPr>
          <w:p>
            <w:r/>
            <w:r>
              <w:rPr>
                <w:rFonts w:ascii="Calibri" w:hAnsi="Calibri"/>
                <w:b w:val="0"/>
                <w:i w:val="0"/>
                <w:color w:val="1B2A32"/>
                <w:sz w:val="18"/>
              </w:rPr>
              <w:t>Marine cargo (import/export)</w:t>
            </w:r>
          </w:p>
        </w:tc>
        <w:tc>
          <w:tcPr>
            <w:tcW w:type="dxa" w:w="57600"/>
          </w:tcPr>
          <w:p>
            <w:r/>
            <w:r>
              <w:rPr>
                <w:rFonts w:ascii="Calibri" w:hAnsi="Calibri"/>
                <w:b w:val="0"/>
                <w:i w:val="0"/>
                <w:color w:val="1B2A32"/>
                <w:sz w:val="18"/>
              </w:rPr>
              <w:t>Which insured peril applied (ICC A/B/C clauses); insufficient packing exclusion; delay exclusion; seaworthiness; general average contribution</w:t>
            </w:r>
          </w:p>
        </w:tc>
        <w:tc>
          <w:tcPr>
            <w:tcW w:type="dxa" w:w="51840"/>
          </w:tcPr>
          <w:p>
            <w:r/>
            <w:r>
              <w:rPr>
                <w:rFonts w:ascii="Calibri" w:hAnsi="Calibri"/>
                <w:b w:val="0"/>
                <w:i w:val="0"/>
                <w:color w:val="1B2A32"/>
                <w:sz w:val="18"/>
              </w:rPr>
              <w:t xml:space="preserve">Bill of lading; survey report; Institute Cargo Clauses; </w:t>
            </w:r>
            <w:r>
              <w:rPr>
                <w:rFonts w:ascii="Calibri" w:hAnsi="Calibri"/>
                <w:b/>
                <w:i w:val="0"/>
                <w:color w:val="1B2A32"/>
                <w:sz w:val="18"/>
              </w:rPr>
              <w:t>proximate cause</w:t>
            </w:r>
            <w:r>
              <w:rPr>
                <w:rFonts w:ascii="Calibri" w:hAnsi="Calibri"/>
                <w:b w:val="0"/>
                <w:i w:val="0"/>
                <w:color w:val="1B2A32"/>
                <w:sz w:val="18"/>
              </w:rPr>
              <w:t xml:space="preserve"> governs (Marine Insurance Act, 1963)</w:t>
            </w:r>
          </w:p>
        </w:tc>
      </w:tr>
      <w:tr>
        <w:tc>
          <w:tcPr>
            <w:tcW w:type="dxa" w:w="34560"/>
            <w:shd w:val="clear" w:fill="F3F7F9"/>
          </w:tcPr>
          <w:p>
            <w:r/>
            <w:r>
              <w:rPr>
                <w:rFonts w:ascii="Calibri" w:hAnsi="Calibri"/>
                <w:b w:val="0"/>
                <w:i w:val="0"/>
                <w:color w:val="1B2A32"/>
                <w:sz w:val="18"/>
              </w:rPr>
              <w:t>Inland transit</w:t>
            </w:r>
          </w:p>
        </w:tc>
        <w:tc>
          <w:tcPr>
            <w:tcW w:type="dxa" w:w="57600"/>
            <w:shd w:val="clear" w:fill="F3F7F9"/>
          </w:tcPr>
          <w:p>
            <w:r/>
            <w:r>
              <w:rPr>
                <w:rFonts w:ascii="Calibri" w:hAnsi="Calibri"/>
                <w:b w:val="0"/>
                <w:i w:val="0"/>
                <w:color w:val="1B2A32"/>
                <w:sz w:val="18"/>
              </w:rPr>
              <w:t>Transit not commenced/ended; accumulation limit; theft/pilferage proof</w:t>
            </w:r>
          </w:p>
        </w:tc>
        <w:tc>
          <w:tcPr>
            <w:tcW w:type="dxa" w:w="51840"/>
            <w:shd w:val="clear" w:fill="F3F7F9"/>
          </w:tcPr>
          <w:p>
            <w:r/>
            <w:r>
              <w:rPr>
                <w:rFonts w:ascii="Calibri" w:hAnsi="Calibri"/>
                <w:b w:val="0"/>
                <w:i w:val="0"/>
                <w:color w:val="1B2A32"/>
                <w:sz w:val="18"/>
              </w:rPr>
              <w:t>Consignment note; transporter's liability</w:t>
            </w:r>
          </w:p>
        </w:tc>
      </w:tr>
      <w:tr>
        <w:tc>
          <w:tcPr>
            <w:tcW w:type="dxa" w:w="34560"/>
          </w:tcPr>
          <w:p>
            <w:r/>
            <w:r>
              <w:rPr>
                <w:rFonts w:ascii="Calibri" w:hAnsi="Calibri"/>
                <w:b w:val="0"/>
                <w:i w:val="0"/>
                <w:color w:val="1B2A32"/>
                <w:sz w:val="18"/>
              </w:rPr>
              <w:t>Marine hull &amp; machinery</w:t>
            </w:r>
          </w:p>
        </w:tc>
        <w:tc>
          <w:tcPr>
            <w:tcW w:type="dxa" w:w="57600"/>
          </w:tcPr>
          <w:p>
            <w:r/>
            <w:r>
              <w:rPr>
                <w:rFonts w:ascii="Calibri" w:hAnsi="Calibri"/>
                <w:b w:val="0"/>
                <w:i w:val="0"/>
                <w:color w:val="1B2A32"/>
                <w:sz w:val="18"/>
              </w:rPr>
              <w:t>Seaworthiness warranty; wear-and-tear vs fortuity; constructive total loss; collision liability (RDC/3-4ths)</w:t>
            </w:r>
          </w:p>
        </w:tc>
        <w:tc>
          <w:tcPr>
            <w:tcW w:type="dxa" w:w="51840"/>
          </w:tcPr>
          <w:p>
            <w:r/>
            <w:r>
              <w:rPr>
                <w:rFonts w:ascii="Calibri" w:hAnsi="Calibri"/>
                <w:b w:val="0"/>
                <w:i w:val="0"/>
                <w:color w:val="1B2A32"/>
                <w:sz w:val="18"/>
              </w:rPr>
              <w:t>Classification survey; hull wording</w:t>
            </w:r>
          </w:p>
        </w:tc>
      </w:tr>
      <w:tr>
        <w:tc>
          <w:tcPr>
            <w:tcW w:type="dxa" w:w="34560"/>
            <w:shd w:val="clear" w:fill="F3F7F9"/>
          </w:tcPr>
          <w:p>
            <w:r/>
            <w:r>
              <w:rPr>
                <w:rFonts w:ascii="Calibri" w:hAnsi="Calibri"/>
                <w:b w:val="0"/>
                <w:i w:val="0"/>
                <w:color w:val="1B2A32"/>
                <w:sz w:val="18"/>
              </w:rPr>
              <w:t>Freight / liability</w:t>
            </w:r>
          </w:p>
        </w:tc>
        <w:tc>
          <w:tcPr>
            <w:tcW w:type="dxa" w:w="57600"/>
            <w:shd w:val="clear" w:fill="F3F7F9"/>
          </w:tcPr>
          <w:p>
            <w:r/>
            <w:r>
              <w:rPr>
                <w:rFonts w:ascii="Calibri" w:hAnsi="Calibri"/>
                <w:b w:val="0"/>
                <w:i w:val="0"/>
                <w:color w:val="1B2A32"/>
                <w:sz w:val="18"/>
              </w:rPr>
              <w:t>Freight at risk; contractual vs common-law carrier liability</w:t>
            </w:r>
          </w:p>
        </w:tc>
        <w:tc>
          <w:tcPr>
            <w:tcW w:type="dxa" w:w="51840"/>
            <w:shd w:val="clear" w:fill="F3F7F9"/>
          </w:tcPr>
          <w:p>
            <w:r/>
            <w:r>
              <w:rPr>
                <w:rFonts w:ascii="Calibri" w:hAnsi="Calibri"/>
                <w:b w:val="0"/>
                <w:i w:val="0"/>
                <w:color w:val="1B2A32"/>
                <w:sz w:val="18"/>
              </w:rPr>
              <w:t>Charterparty; bill of lading</w:t>
            </w:r>
          </w:p>
        </w:tc>
      </w:tr>
    </w:tbl>
    <w:p>
      <w:pPr>
        <w:spacing w:after="40"/>
      </w:pPr>
    </w:p>
    <w:tbl>
      <w:tblPr>
        <w:tblW w:type="auto" w:w="0"/>
        <w:jc w:val="center"/>
        <w:tblLook w:firstColumn="1" w:firstRow="1" w:lastColumn="0" w:lastRow="0" w:noHBand="0" w:noVBand="1" w:val="04A0"/>
      </w:tblPr>
      <w:tblGrid>
        <w:gridCol w:w="9504"/>
      </w:tblGrid>
      <w:tr>
        <w:tc>
          <w:tcPr>
            <w:tcW w:type="dxa" w:w="9360"/>
            <w:shd w:val="clear" w:fill="DCEAEF"/>
            <w:tcBorders>
              <w:start w:val="single" w:sz="22" w:space="0" w:color="1E7A8C"/>
            </w:tcBorders>
          </w:tcPr>
          <w:p>
            <w:r>
              <w:rPr>
                <w:rFonts w:ascii="Calibri" w:hAnsi="Calibri"/>
                <w:b/>
                <w:i w:val="0"/>
                <w:color w:val="123B4F"/>
                <w:sz w:val="18"/>
              </w:rPr>
              <w:t>PROXIMATE CAUSE IN MARINE AND FIRE</w:t>
            </w:r>
          </w:p>
          <w:p>
            <w:r>
              <w:rPr>
                <w:rFonts w:ascii="Calibri" w:hAnsi="Calibri"/>
                <w:b w:val="0"/>
                <w:i w:val="0"/>
                <w:color w:val="1B2A32"/>
                <w:sz w:val="19"/>
              </w:rPr>
              <w:t>Marine and fire claims are decided by *causa proxima non remota spectatur* — the dominant, effective cause of the loss, not a remote one, is considered (foundationally *Leyland Shipping v. Norwich Union* [1918] AC 350; applied in Indian motor/property contexts e.g. *Oriental Insurance v. Hasmukhbhai T. Patel* [verify]). A chain of events with an excluded link somewhere in it does not automatically defeat the claim — the question is what dominated. This is the single most litigated construction point in commercial property and marine, and it is genuinely mediable because reasonable assessors differ on dominance.</w:t>
            </w:r>
          </w:p>
        </w:tc>
      </w:tr>
    </w:tbl>
    <w:p>
      <w:pPr>
        <w:spacing w:after="40"/>
      </w:pPr>
    </w:p>
    <w:p>
      <w:r>
        <w:br w:type="page"/>
      </w:r>
    </w:p>
    <w:p>
      <w:pPr>
        <w:keepNext/>
        <w:spacing w:before="200" w:after="60"/>
      </w:pPr>
      <w:r>
        <w:rPr>
          <w:rFonts w:ascii="Calibri" w:hAnsi="Calibri"/>
          <w:b/>
          <w:i w:val="0"/>
          <w:color w:val="1E7A8C"/>
          <w:sz w:val="25"/>
        </w:rPr>
        <w:t>3.9  3.9  Engineering (CAR / EAR / machinery / ALOP)</w:t>
      </w:r>
    </w:p>
    <w:tbl>
      <w:tblPr>
        <w:tblStyle w:val="TableGrid"/>
        <w:tblW w:type="auto" w:w="0"/>
        <w:jc w:val="center"/>
        <w:tblLook w:firstColumn="1" w:firstRow="1" w:lastColumn="0" w:lastRow="0" w:noHBand="0" w:noVBand="1" w:val="04A0"/>
      </w:tblPr>
      <w:tblGrid>
        <w:gridCol w:w="3168"/>
        <w:gridCol w:w="3168"/>
        <w:gridCol w:w="3168"/>
      </w:tblGrid>
      <w:tr>
        <w:tc>
          <w:tcPr>
            <w:tcW w:type="dxa" w:w="37440"/>
            <w:shd w:val="clear" w:fill="123B4F"/>
          </w:tcPr>
          <w:p>
            <w:r/>
            <w:r>
              <w:rPr>
                <w:rFonts w:ascii="Calibri" w:hAnsi="Calibri"/>
                <w:b/>
                <w:i w:val="0"/>
                <w:color w:val="FFFFFF"/>
                <w:sz w:val="18"/>
              </w:rPr>
              <w:t>Sub-line</w:t>
            </w:r>
          </w:p>
        </w:tc>
        <w:tc>
          <w:tcPr>
            <w:tcW w:type="dxa" w:w="60480"/>
            <w:shd w:val="clear" w:fill="123B4F"/>
          </w:tcPr>
          <w:p>
            <w:r/>
            <w:r>
              <w:rPr>
                <w:rFonts w:ascii="Calibri" w:hAnsi="Calibri"/>
                <w:b/>
                <w:i w:val="0"/>
                <w:color w:val="FFFFFF"/>
                <w:sz w:val="18"/>
              </w:rPr>
              <w:t>Recurring disputes</w:t>
            </w:r>
          </w:p>
        </w:tc>
        <w:tc>
          <w:tcPr>
            <w:tcW w:type="dxa" w:w="46080"/>
            <w:shd w:val="clear" w:fill="123B4F"/>
          </w:tcPr>
          <w:p>
            <w:r/>
            <w:r>
              <w:rPr>
                <w:rFonts w:ascii="Calibri" w:hAnsi="Calibri"/>
                <w:b/>
                <w:i w:val="0"/>
                <w:color w:val="FFFFFF"/>
                <w:sz w:val="18"/>
              </w:rPr>
              <w:t>Key document</w:t>
            </w:r>
          </w:p>
        </w:tc>
      </w:tr>
      <w:tr>
        <w:tc>
          <w:tcPr>
            <w:tcW w:type="dxa" w:w="37440"/>
          </w:tcPr>
          <w:p>
            <w:r/>
            <w:r>
              <w:rPr>
                <w:rFonts w:ascii="Calibri" w:hAnsi="Calibri"/>
                <w:b w:val="0"/>
                <w:i w:val="0"/>
                <w:color w:val="1B2A32"/>
                <w:sz w:val="18"/>
              </w:rPr>
              <w:t>Contractors' all-risk (CAR)</w:t>
            </w:r>
          </w:p>
        </w:tc>
        <w:tc>
          <w:tcPr>
            <w:tcW w:type="dxa" w:w="60480"/>
          </w:tcPr>
          <w:p>
            <w:r/>
            <w:r>
              <w:rPr>
                <w:rFonts w:ascii="Calibri" w:hAnsi="Calibri"/>
                <w:b w:val="0"/>
                <w:i w:val="0"/>
                <w:color w:val="1B2A32"/>
                <w:sz w:val="18"/>
              </w:rPr>
              <w:t>Defective design/workmanship exclusion (LEG 1/2/3 clauses); maintenance-period cover; existing-property damage; testing risk</w:t>
            </w:r>
          </w:p>
        </w:tc>
        <w:tc>
          <w:tcPr>
            <w:tcW w:type="dxa" w:w="46080"/>
          </w:tcPr>
          <w:p>
            <w:r/>
            <w:r>
              <w:rPr>
                <w:rFonts w:ascii="Calibri" w:hAnsi="Calibri"/>
                <w:b w:val="0"/>
                <w:i w:val="0"/>
                <w:color w:val="1B2A32"/>
                <w:sz w:val="18"/>
              </w:rPr>
              <w:t>Contract; DPR; surveyor's report; the LEG clause actually incorporated</w:t>
            </w:r>
          </w:p>
        </w:tc>
      </w:tr>
      <w:tr>
        <w:tc>
          <w:tcPr>
            <w:tcW w:type="dxa" w:w="37440"/>
            <w:shd w:val="clear" w:fill="F3F7F9"/>
          </w:tcPr>
          <w:p>
            <w:r/>
            <w:r>
              <w:rPr>
                <w:rFonts w:ascii="Calibri" w:hAnsi="Calibri"/>
                <w:b w:val="0"/>
                <w:i w:val="0"/>
                <w:color w:val="1B2A32"/>
                <w:sz w:val="18"/>
              </w:rPr>
              <w:t>Erection all-risk (EAR)</w:t>
            </w:r>
          </w:p>
        </w:tc>
        <w:tc>
          <w:tcPr>
            <w:tcW w:type="dxa" w:w="60480"/>
            <w:shd w:val="clear" w:fill="F3F7F9"/>
          </w:tcPr>
          <w:p>
            <w:r/>
            <w:r>
              <w:rPr>
                <w:rFonts w:ascii="Calibri" w:hAnsi="Calibri"/>
                <w:b w:val="0"/>
                <w:i w:val="0"/>
                <w:color w:val="1B2A32"/>
                <w:sz w:val="18"/>
              </w:rPr>
              <w:t>Testing &amp; commissioning damage; hot-testing exclusion; consequential loss</w:t>
            </w:r>
          </w:p>
        </w:tc>
        <w:tc>
          <w:tcPr>
            <w:tcW w:type="dxa" w:w="46080"/>
            <w:shd w:val="clear" w:fill="F3F7F9"/>
          </w:tcPr>
          <w:p>
            <w:r/>
            <w:r>
              <w:rPr>
                <w:rFonts w:ascii="Calibri" w:hAnsi="Calibri"/>
                <w:b w:val="0"/>
                <w:i w:val="0"/>
                <w:color w:val="1B2A32"/>
                <w:sz w:val="18"/>
              </w:rPr>
              <w:t>Erection schedule; commissioning protocol</w:t>
            </w:r>
          </w:p>
        </w:tc>
      </w:tr>
      <w:tr>
        <w:tc>
          <w:tcPr>
            <w:tcW w:type="dxa" w:w="37440"/>
          </w:tcPr>
          <w:p>
            <w:r/>
            <w:r>
              <w:rPr>
                <w:rFonts w:ascii="Calibri" w:hAnsi="Calibri"/>
                <w:b w:val="0"/>
                <w:i w:val="0"/>
                <w:color w:val="1B2A32"/>
                <w:sz w:val="18"/>
              </w:rPr>
              <w:t>Machinery breakdown</w:t>
            </w:r>
          </w:p>
        </w:tc>
        <w:tc>
          <w:tcPr>
            <w:tcW w:type="dxa" w:w="60480"/>
          </w:tcPr>
          <w:p>
            <w:r/>
            <w:r>
              <w:rPr>
                <w:rFonts w:ascii="Calibri" w:hAnsi="Calibri"/>
                <w:b w:val="0"/>
                <w:i w:val="0"/>
                <w:color w:val="1B2A32"/>
                <w:sz w:val="18"/>
              </w:rPr>
              <w:t>Wear-and-tear vs sudden breakdown; consequential loss; obsolescence/betterment</w:t>
            </w:r>
          </w:p>
        </w:tc>
        <w:tc>
          <w:tcPr>
            <w:tcW w:type="dxa" w:w="46080"/>
          </w:tcPr>
          <w:p>
            <w:r/>
            <w:r>
              <w:rPr>
                <w:rFonts w:ascii="Calibri" w:hAnsi="Calibri"/>
                <w:b w:val="0"/>
                <w:i w:val="0"/>
                <w:color w:val="1B2A32"/>
                <w:sz w:val="18"/>
              </w:rPr>
              <w:t>Maintenance records; OEM report</w:t>
            </w:r>
          </w:p>
        </w:tc>
      </w:tr>
      <w:tr>
        <w:tc>
          <w:tcPr>
            <w:tcW w:type="dxa" w:w="37440"/>
            <w:shd w:val="clear" w:fill="F3F7F9"/>
          </w:tcPr>
          <w:p>
            <w:r/>
            <w:r>
              <w:rPr>
                <w:rFonts w:ascii="Calibri" w:hAnsi="Calibri"/>
                <w:b w:val="0"/>
                <w:i w:val="0"/>
                <w:color w:val="1B2A32"/>
                <w:sz w:val="18"/>
              </w:rPr>
              <w:t>Advance loss of profits (ALOP/DSU)</w:t>
            </w:r>
          </w:p>
        </w:tc>
        <w:tc>
          <w:tcPr>
            <w:tcW w:type="dxa" w:w="60480"/>
            <w:shd w:val="clear" w:fill="F3F7F9"/>
          </w:tcPr>
          <w:p>
            <w:r/>
            <w:r>
              <w:rPr>
                <w:rFonts w:ascii="Calibri" w:hAnsi="Calibri"/>
                <w:b w:val="0"/>
                <w:i w:val="0"/>
                <w:color w:val="1B2A32"/>
                <w:sz w:val="18"/>
              </w:rPr>
              <w:t>Delay-in-start-up computation; indemnity period; the trigger physical-damage requirement</w:t>
            </w:r>
          </w:p>
        </w:tc>
        <w:tc>
          <w:tcPr>
            <w:tcW w:type="dxa" w:w="46080"/>
            <w:shd w:val="clear" w:fill="F3F7F9"/>
          </w:tcPr>
          <w:p>
            <w:r/>
            <w:r>
              <w:rPr>
                <w:rFonts w:ascii="Calibri" w:hAnsi="Calibri"/>
                <w:b w:val="0"/>
                <w:i w:val="0"/>
                <w:color w:val="1B2A32"/>
                <w:sz w:val="18"/>
              </w:rPr>
              <w:t>Project schedule; financial projections</w:t>
            </w:r>
          </w:p>
        </w:tc>
      </w:tr>
    </w:tbl>
    <w:p>
      <w:pPr>
        <w:spacing w:after="40"/>
      </w:pPr>
    </w:p>
    <w:p>
      <w:pPr>
        <w:keepNext/>
        <w:spacing w:before="200" w:after="60"/>
      </w:pPr>
      <w:r>
        <w:rPr>
          <w:rFonts w:ascii="Calibri" w:hAnsi="Calibri"/>
          <w:b/>
          <w:i w:val="0"/>
          <w:color w:val="1E7A8C"/>
          <w:sz w:val="25"/>
        </w:rPr>
        <w:t>3.10  3.10  Liability (CGL / product / professional indemnity / D&amp;O)</w:t>
      </w:r>
    </w:p>
    <w:p>
      <w:pPr>
        <w:spacing w:after="120"/>
        <w:jc w:val="both"/>
      </w:pPr>
      <w:r>
        <w:rPr>
          <w:rFonts w:ascii="Calibri" w:hAnsi="Calibri"/>
          <w:b w:val="0"/>
          <w:i w:val="0"/>
          <w:color w:val="1B2A32"/>
          <w:sz w:val="21"/>
        </w:rPr>
        <w:t xml:space="preserve">Liability lines turn on </w:t>
      </w:r>
      <w:r>
        <w:rPr>
          <w:rFonts w:ascii="Calibri" w:hAnsi="Calibri"/>
          <w:b/>
          <w:i w:val="0"/>
          <w:color w:val="1B2A32"/>
          <w:sz w:val="21"/>
        </w:rPr>
        <w:t>trigger</w:t>
      </w:r>
      <w:r>
        <w:rPr>
          <w:rFonts w:ascii="Calibri" w:hAnsi="Calibri"/>
          <w:b w:val="0"/>
          <w:i w:val="0"/>
          <w:color w:val="1B2A32"/>
          <w:sz w:val="21"/>
        </w:rPr>
        <w:t xml:space="preserve"> (occurrence vs claims-made), </w:t>
      </w:r>
      <w:r>
        <w:rPr>
          <w:rFonts w:ascii="Calibri" w:hAnsi="Calibri"/>
          <w:b/>
          <w:i w:val="0"/>
          <w:color w:val="1B2A32"/>
          <w:sz w:val="21"/>
        </w:rPr>
        <w:t>notification</w:t>
      </w:r>
      <w:r>
        <w:rPr>
          <w:rFonts w:ascii="Calibri" w:hAnsi="Calibri"/>
          <w:b w:val="0"/>
          <w:i w:val="0"/>
          <w:color w:val="1B2A32"/>
          <w:sz w:val="21"/>
        </w:rPr>
        <w:t xml:space="preserve">, and </w:t>
      </w:r>
      <w:r>
        <w:rPr>
          <w:rFonts w:ascii="Calibri" w:hAnsi="Calibri"/>
          <w:b/>
          <w:i w:val="0"/>
          <w:color w:val="1B2A32"/>
          <w:sz w:val="21"/>
        </w:rPr>
        <w:t>defence-costs erosion</w:t>
      </w:r>
      <w:r>
        <w:rPr>
          <w:rFonts w:ascii="Calibri" w:hAnsi="Calibri"/>
          <w:b w:val="0"/>
          <w:i w:val="0"/>
          <w:color w:val="1B2A32"/>
          <w:sz w:val="21"/>
        </w:rPr>
        <w:t>. The disputes are often about *when* a claim was 'first made' and whether late notice prejudiced the insurer.</w:t>
      </w:r>
    </w:p>
    <w:tbl>
      <w:tblPr>
        <w:tblStyle w:val="TableGrid"/>
        <w:tblW w:type="auto" w:w="0"/>
        <w:jc w:val="center"/>
        <w:tblLook w:firstColumn="1" w:firstRow="1" w:lastColumn="0" w:lastRow="0" w:noHBand="0" w:noVBand="1" w:val="04A0"/>
      </w:tblPr>
      <w:tblGrid>
        <w:gridCol w:w="3168"/>
        <w:gridCol w:w="3168"/>
        <w:gridCol w:w="3168"/>
      </w:tblGrid>
      <w:tr>
        <w:tc>
          <w:tcPr>
            <w:tcW w:type="dxa" w:w="34560"/>
            <w:shd w:val="clear" w:fill="123B4F"/>
          </w:tcPr>
          <w:p>
            <w:r/>
            <w:r>
              <w:rPr>
                <w:rFonts w:ascii="Calibri" w:hAnsi="Calibri"/>
                <w:b/>
                <w:i w:val="0"/>
                <w:color w:val="FFFFFF"/>
                <w:sz w:val="18"/>
              </w:rPr>
              <w:t>Sub-line</w:t>
            </w:r>
          </w:p>
        </w:tc>
        <w:tc>
          <w:tcPr>
            <w:tcW w:type="dxa" w:w="57600"/>
            <w:shd w:val="clear" w:fill="123B4F"/>
          </w:tcPr>
          <w:p>
            <w:r/>
            <w:r>
              <w:rPr>
                <w:rFonts w:ascii="Calibri" w:hAnsi="Calibri"/>
                <w:b/>
                <w:i w:val="0"/>
                <w:color w:val="FFFFFF"/>
                <w:sz w:val="18"/>
              </w:rPr>
              <w:t>Recurring disputes</w:t>
            </w:r>
          </w:p>
        </w:tc>
        <w:tc>
          <w:tcPr>
            <w:tcW w:type="dxa" w:w="51840"/>
            <w:shd w:val="clear" w:fill="123B4F"/>
          </w:tcPr>
          <w:p>
            <w:r/>
            <w:r>
              <w:rPr>
                <w:rFonts w:ascii="Calibri" w:hAnsi="Calibri"/>
                <w:b/>
                <w:i w:val="0"/>
                <w:color w:val="FFFFFF"/>
                <w:sz w:val="18"/>
              </w:rPr>
              <w:t>The negotiable element</w:t>
            </w:r>
          </w:p>
        </w:tc>
      </w:tr>
      <w:tr>
        <w:tc>
          <w:tcPr>
            <w:tcW w:type="dxa" w:w="34560"/>
          </w:tcPr>
          <w:p>
            <w:r/>
            <w:r>
              <w:rPr>
                <w:rFonts w:ascii="Calibri" w:hAnsi="Calibri"/>
                <w:b w:val="0"/>
                <w:i w:val="0"/>
                <w:color w:val="1B2A32"/>
                <w:sz w:val="18"/>
              </w:rPr>
              <w:t>Commercial general / public liability</w:t>
            </w:r>
          </w:p>
        </w:tc>
        <w:tc>
          <w:tcPr>
            <w:tcW w:type="dxa" w:w="57600"/>
          </w:tcPr>
          <w:p>
            <w:r/>
            <w:r>
              <w:rPr>
                <w:rFonts w:ascii="Calibri" w:hAnsi="Calibri"/>
                <w:b w:val="0"/>
                <w:i w:val="0"/>
                <w:color w:val="1B2A32"/>
                <w:sz w:val="18"/>
              </w:rPr>
              <w:t>Occurrence vs claims-made; aggregate erosion; contractual liability exclusion; bodily-injury vs property split</w:t>
            </w:r>
          </w:p>
        </w:tc>
        <w:tc>
          <w:tcPr>
            <w:tcW w:type="dxa" w:w="51840"/>
          </w:tcPr>
          <w:p>
            <w:r/>
            <w:r>
              <w:rPr>
                <w:rFonts w:ascii="Calibri" w:hAnsi="Calibri"/>
                <w:b w:val="0"/>
                <w:i w:val="0"/>
                <w:color w:val="1B2A32"/>
                <w:sz w:val="18"/>
              </w:rPr>
              <w:t>Allocation across policy years; whether defence costs erode the limit</w:t>
            </w:r>
          </w:p>
        </w:tc>
      </w:tr>
      <w:tr>
        <w:tc>
          <w:tcPr>
            <w:tcW w:type="dxa" w:w="34560"/>
            <w:shd w:val="clear" w:fill="F3F7F9"/>
          </w:tcPr>
          <w:p>
            <w:r/>
            <w:r>
              <w:rPr>
                <w:rFonts w:ascii="Calibri" w:hAnsi="Calibri"/>
                <w:b w:val="0"/>
                <w:i w:val="0"/>
                <w:color w:val="1B2A32"/>
                <w:sz w:val="18"/>
              </w:rPr>
              <w:t>Product liability</w:t>
            </w:r>
          </w:p>
        </w:tc>
        <w:tc>
          <w:tcPr>
            <w:tcW w:type="dxa" w:w="57600"/>
            <w:shd w:val="clear" w:fill="F3F7F9"/>
          </w:tcPr>
          <w:p>
            <w:r/>
            <w:r>
              <w:rPr>
                <w:rFonts w:ascii="Calibri" w:hAnsi="Calibri"/>
                <w:b w:val="0"/>
                <w:i w:val="0"/>
                <w:color w:val="1B2A32"/>
                <w:sz w:val="18"/>
              </w:rPr>
              <w:t>Which product/batch; recall vs liability; territory (US exposure)</w:t>
            </w:r>
          </w:p>
        </w:tc>
        <w:tc>
          <w:tcPr>
            <w:tcW w:type="dxa" w:w="51840"/>
            <w:shd w:val="clear" w:fill="F3F7F9"/>
          </w:tcPr>
          <w:p>
            <w:r/>
            <w:r>
              <w:rPr>
                <w:rFonts w:ascii="Calibri" w:hAnsi="Calibri"/>
                <w:b w:val="0"/>
                <w:i w:val="0"/>
                <w:color w:val="1B2A32"/>
                <w:sz w:val="18"/>
              </w:rPr>
              <w:t>Batch causation; contribution among the supply chain</w:t>
            </w:r>
          </w:p>
        </w:tc>
      </w:tr>
      <w:tr>
        <w:tc>
          <w:tcPr>
            <w:tcW w:type="dxa" w:w="34560"/>
          </w:tcPr>
          <w:p>
            <w:r/>
            <w:r>
              <w:rPr>
                <w:rFonts w:ascii="Calibri" w:hAnsi="Calibri"/>
                <w:b w:val="0"/>
                <w:i w:val="0"/>
                <w:color w:val="1B2A32"/>
                <w:sz w:val="18"/>
              </w:rPr>
              <w:t>Professional indemnity</w:t>
            </w:r>
          </w:p>
        </w:tc>
        <w:tc>
          <w:tcPr>
            <w:tcW w:type="dxa" w:w="57600"/>
          </w:tcPr>
          <w:p>
            <w:r/>
            <w:r>
              <w:rPr>
                <w:rFonts w:ascii="Calibri" w:hAnsi="Calibri"/>
                <w:b w:val="0"/>
                <w:i w:val="0"/>
                <w:color w:val="1B2A32"/>
                <w:sz w:val="18"/>
              </w:rPr>
              <w:t>Was the act 'professional services'; dishonesty exclusion; retroactive date; notification of circumstances</w:t>
            </w:r>
          </w:p>
        </w:tc>
        <w:tc>
          <w:tcPr>
            <w:tcW w:type="dxa" w:w="51840"/>
          </w:tcPr>
          <w:p>
            <w:r/>
            <w:r>
              <w:rPr>
                <w:rFonts w:ascii="Calibri" w:hAnsi="Calibri"/>
                <w:b w:val="0"/>
                <w:i w:val="0"/>
                <w:color w:val="1B2A32"/>
                <w:sz w:val="18"/>
              </w:rPr>
              <w:t>Retroactive date and the notification chain usually decide it</w:t>
            </w:r>
          </w:p>
        </w:tc>
      </w:tr>
      <w:tr>
        <w:tc>
          <w:tcPr>
            <w:tcW w:type="dxa" w:w="34560"/>
            <w:shd w:val="clear" w:fill="F3F7F9"/>
          </w:tcPr>
          <w:p>
            <w:r/>
            <w:r>
              <w:rPr>
                <w:rFonts w:ascii="Calibri" w:hAnsi="Calibri"/>
                <w:b w:val="0"/>
                <w:i w:val="0"/>
                <w:color w:val="1B2A32"/>
                <w:sz w:val="18"/>
              </w:rPr>
              <w:t>Directors' &amp; officers' (D&amp;O)</w:t>
            </w:r>
          </w:p>
        </w:tc>
        <w:tc>
          <w:tcPr>
            <w:tcW w:type="dxa" w:w="57600"/>
            <w:shd w:val="clear" w:fill="F3F7F9"/>
          </w:tcPr>
          <w:p>
            <w:r/>
            <w:r>
              <w:rPr>
                <w:rFonts w:ascii="Calibri" w:hAnsi="Calibri"/>
                <w:b w:val="0"/>
                <w:i w:val="0"/>
                <w:color w:val="1B2A32"/>
                <w:sz w:val="18"/>
              </w:rPr>
              <w:t>Side A vs B vs C; conduct exclusions (fraud, personal profit) pending adjudication; insured-vs-insured; regulatory-investigation cover</w:t>
            </w:r>
          </w:p>
        </w:tc>
        <w:tc>
          <w:tcPr>
            <w:tcW w:type="dxa" w:w="51840"/>
            <w:shd w:val="clear" w:fill="F3F7F9"/>
          </w:tcPr>
          <w:p>
            <w:r/>
            <w:r>
              <w:rPr>
                <w:rFonts w:ascii="Calibri" w:hAnsi="Calibri"/>
                <w:b w:val="0"/>
                <w:i w:val="0"/>
                <w:color w:val="1B2A32"/>
                <w:sz w:val="18"/>
              </w:rPr>
              <w:t>Advancement of defence costs before final adjudication is the pressure point</w:t>
            </w:r>
          </w:p>
        </w:tc>
      </w:tr>
      <w:tr>
        <w:tc>
          <w:tcPr>
            <w:tcW w:type="dxa" w:w="34560"/>
          </w:tcPr>
          <w:p>
            <w:r/>
            <w:r>
              <w:rPr>
                <w:rFonts w:ascii="Calibri" w:hAnsi="Calibri"/>
                <w:b w:val="0"/>
                <w:i w:val="0"/>
                <w:color w:val="1B2A32"/>
                <w:sz w:val="18"/>
              </w:rPr>
              <w:t>Employers' liability</w:t>
            </w:r>
          </w:p>
        </w:tc>
        <w:tc>
          <w:tcPr>
            <w:tcW w:type="dxa" w:w="57600"/>
          </w:tcPr>
          <w:p>
            <w:r/>
            <w:r>
              <w:rPr>
                <w:rFonts w:ascii="Calibri" w:hAnsi="Calibri"/>
                <w:b w:val="0"/>
                <w:i w:val="0"/>
                <w:color w:val="1B2A32"/>
                <w:sz w:val="18"/>
              </w:rPr>
              <w:t>Overlap with Employees' Compensation; common-law negligence</w:t>
            </w:r>
          </w:p>
        </w:tc>
        <w:tc>
          <w:tcPr>
            <w:tcW w:type="dxa" w:w="51840"/>
          </w:tcPr>
          <w:p>
            <w:r/>
            <w:r>
              <w:rPr>
                <w:rFonts w:ascii="Calibri" w:hAnsi="Calibri"/>
                <w:b w:val="0"/>
                <w:i w:val="0"/>
                <w:color w:val="1B2A32"/>
                <w:sz w:val="18"/>
              </w:rPr>
              <w:t>Coordinate with the EC Act claim</w:t>
            </w:r>
          </w:p>
        </w:tc>
      </w:tr>
    </w:tbl>
    <w:p>
      <w:pPr>
        <w:spacing w:after="40"/>
      </w:pPr>
    </w:p>
    <w:p>
      <w:pPr>
        <w:keepNext/>
        <w:spacing w:before="200" w:after="60"/>
      </w:pPr>
      <w:r>
        <w:rPr>
          <w:rFonts w:ascii="Calibri" w:hAnsi="Calibri"/>
          <w:b/>
          <w:i w:val="0"/>
          <w:color w:val="1E7A8C"/>
          <w:sz w:val="25"/>
        </w:rPr>
        <w:t>3.11  3.11  Cyber</w:t>
      </w:r>
    </w:p>
    <w:p>
      <w:pPr>
        <w:spacing w:after="120"/>
        <w:jc w:val="both"/>
      </w:pPr>
      <w:r>
        <w:rPr>
          <w:rFonts w:ascii="Calibri" w:hAnsi="Calibri"/>
          <w:b w:val="0"/>
          <w:i w:val="0"/>
          <w:color w:val="1B2A32"/>
          <w:sz w:val="21"/>
        </w:rPr>
        <w:t>India's cyber market is small but growing fast — roughly US$50–60 million with a 27–30% CAGR, and around 50,000 claims reported in 2024, up ~40% year on year, led by business email compromise and ransomware. A reported 24–27% of 2023–24 cyber claims were partially paid or denied on exclusions. The disputes are young and the wordings are often re-badged Western templates, which makes them fertile for construction arguments.</w:t>
      </w:r>
    </w:p>
    <w:tbl>
      <w:tblPr>
        <w:tblStyle w:val="TableGrid"/>
        <w:tblW w:type="auto" w:w="0"/>
        <w:jc w:val="center"/>
        <w:tblLook w:firstColumn="1" w:firstRow="1" w:lastColumn="0" w:lastRow="0" w:noHBand="0" w:noVBand="1" w:val="04A0"/>
      </w:tblPr>
      <w:tblGrid>
        <w:gridCol w:w="3168"/>
        <w:gridCol w:w="3168"/>
        <w:gridCol w:w="3168"/>
      </w:tblGrid>
      <w:tr>
        <w:tc>
          <w:tcPr>
            <w:tcW w:type="dxa" w:w="37440"/>
            <w:shd w:val="clear" w:fill="123B4F"/>
          </w:tcPr>
          <w:p>
            <w:r/>
            <w:r>
              <w:rPr>
                <w:rFonts w:ascii="Calibri" w:hAnsi="Calibri"/>
                <w:b/>
                <w:i w:val="0"/>
                <w:color w:val="FFFFFF"/>
                <w:sz w:val="18"/>
              </w:rPr>
              <w:t>Dispute</w:t>
            </w:r>
          </w:p>
        </w:tc>
        <w:tc>
          <w:tcPr>
            <w:tcW w:type="dxa" w:w="48960"/>
            <w:shd w:val="clear" w:fill="123B4F"/>
          </w:tcPr>
          <w:p>
            <w:r/>
            <w:r>
              <w:rPr>
                <w:rFonts w:ascii="Calibri" w:hAnsi="Calibri"/>
                <w:b/>
                <w:i w:val="0"/>
                <w:color w:val="FFFFFF"/>
                <w:sz w:val="18"/>
              </w:rPr>
              <w:t>The insurer's ground</w:t>
            </w:r>
          </w:p>
        </w:tc>
        <w:tc>
          <w:tcPr>
            <w:tcW w:type="dxa" w:w="57600"/>
            <w:shd w:val="clear" w:fill="123B4F"/>
          </w:tcPr>
          <w:p>
            <w:r/>
            <w:r>
              <w:rPr>
                <w:rFonts w:ascii="Calibri" w:hAnsi="Calibri"/>
                <w:b/>
                <w:i w:val="0"/>
                <w:color w:val="FFFFFF"/>
                <w:sz w:val="18"/>
              </w:rPr>
              <w:t>The counter-position</w:t>
            </w:r>
          </w:p>
        </w:tc>
      </w:tr>
      <w:tr>
        <w:tc>
          <w:tcPr>
            <w:tcW w:type="dxa" w:w="37440"/>
          </w:tcPr>
          <w:p>
            <w:r/>
            <w:r>
              <w:rPr>
                <w:rFonts w:ascii="Calibri" w:hAnsi="Calibri"/>
                <w:b w:val="0"/>
                <w:i w:val="0"/>
                <w:color w:val="1B2A32"/>
                <w:sz w:val="18"/>
              </w:rPr>
              <w:t>Poor cyber-hygiene exclusion</w:t>
            </w:r>
          </w:p>
        </w:tc>
        <w:tc>
          <w:tcPr>
            <w:tcW w:type="dxa" w:w="48960"/>
          </w:tcPr>
          <w:p>
            <w:r/>
            <w:r>
              <w:rPr>
                <w:rFonts w:ascii="Calibri" w:hAnsi="Calibri"/>
                <w:b w:val="0"/>
                <w:i w:val="0"/>
                <w:color w:val="1B2A32"/>
                <w:sz w:val="18"/>
              </w:rPr>
              <w:t>Unpatched systems / MFA not deployed as warranted</w:t>
            </w:r>
          </w:p>
        </w:tc>
        <w:tc>
          <w:tcPr>
            <w:tcW w:type="dxa" w:w="57600"/>
          </w:tcPr>
          <w:p>
            <w:r/>
            <w:r>
              <w:rPr>
                <w:rFonts w:ascii="Calibri" w:hAnsi="Calibri"/>
                <w:b w:val="0"/>
                <w:i w:val="0"/>
                <w:color w:val="1B2A32"/>
                <w:sz w:val="18"/>
              </w:rPr>
              <w:t>Whether the warranty was clear, and whether the lapse was causative of this loss</w:t>
            </w:r>
          </w:p>
        </w:tc>
      </w:tr>
      <w:tr>
        <w:tc>
          <w:tcPr>
            <w:tcW w:type="dxa" w:w="37440"/>
            <w:shd w:val="clear" w:fill="F3F7F9"/>
          </w:tcPr>
          <w:p>
            <w:r/>
            <w:r>
              <w:rPr>
                <w:rFonts w:ascii="Calibri" w:hAnsi="Calibri"/>
                <w:b w:val="0"/>
                <w:i w:val="0"/>
                <w:color w:val="1B2A32"/>
                <w:sz w:val="18"/>
              </w:rPr>
              <w:t>Social engineering / BEC</w:t>
            </w:r>
          </w:p>
        </w:tc>
        <w:tc>
          <w:tcPr>
            <w:tcW w:type="dxa" w:w="48960"/>
            <w:shd w:val="clear" w:fill="F3F7F9"/>
          </w:tcPr>
          <w:p>
            <w:r/>
            <w:r>
              <w:rPr>
                <w:rFonts w:ascii="Calibri" w:hAnsi="Calibri"/>
                <w:b w:val="0"/>
                <w:i w:val="0"/>
                <w:color w:val="1B2A32"/>
                <w:sz w:val="18"/>
              </w:rPr>
              <w:t>Voluntary parting of funds falls outside 'computer fraud'</w:t>
            </w:r>
          </w:p>
        </w:tc>
        <w:tc>
          <w:tcPr>
            <w:tcW w:type="dxa" w:w="57600"/>
            <w:shd w:val="clear" w:fill="F3F7F9"/>
          </w:tcPr>
          <w:p>
            <w:r/>
            <w:r>
              <w:rPr>
                <w:rFonts w:ascii="Calibri" w:hAnsi="Calibri"/>
                <w:b w:val="0"/>
                <w:i w:val="0"/>
                <w:color w:val="1B2A32"/>
                <w:sz w:val="18"/>
              </w:rPr>
              <w:t>Whether the policy has a social-engineering extension; contra proferentem on the fraud definition</w:t>
            </w:r>
          </w:p>
        </w:tc>
      </w:tr>
      <w:tr>
        <w:tc>
          <w:tcPr>
            <w:tcW w:type="dxa" w:w="37440"/>
          </w:tcPr>
          <w:p>
            <w:r/>
            <w:r>
              <w:rPr>
                <w:rFonts w:ascii="Calibri" w:hAnsi="Calibri"/>
                <w:b w:val="0"/>
                <w:i w:val="0"/>
                <w:color w:val="1B2A32"/>
                <w:sz w:val="18"/>
              </w:rPr>
              <w:t>Ransomware / extortion</w:t>
            </w:r>
          </w:p>
        </w:tc>
        <w:tc>
          <w:tcPr>
            <w:tcW w:type="dxa" w:w="48960"/>
          </w:tcPr>
          <w:p>
            <w:r/>
            <w:r>
              <w:rPr>
                <w:rFonts w:ascii="Calibri" w:hAnsi="Calibri"/>
                <w:b w:val="0"/>
                <w:i w:val="0"/>
                <w:color w:val="1B2A32"/>
                <w:sz w:val="18"/>
              </w:rPr>
              <w:t>Illegal ransom / sanctions; failure of controls</w:t>
            </w:r>
          </w:p>
        </w:tc>
        <w:tc>
          <w:tcPr>
            <w:tcW w:type="dxa" w:w="57600"/>
          </w:tcPr>
          <w:p>
            <w:r/>
            <w:r>
              <w:rPr>
                <w:rFonts w:ascii="Calibri" w:hAnsi="Calibri"/>
                <w:b w:val="0"/>
                <w:i w:val="0"/>
                <w:color w:val="1B2A32"/>
                <w:sz w:val="18"/>
              </w:rPr>
              <w:t>Incident-response and cyber-extortion cover; whether payment was lawful and pre-approved</w:t>
            </w:r>
          </w:p>
        </w:tc>
      </w:tr>
      <w:tr>
        <w:tc>
          <w:tcPr>
            <w:tcW w:type="dxa" w:w="37440"/>
            <w:shd w:val="clear" w:fill="F3F7F9"/>
          </w:tcPr>
          <w:p>
            <w:r/>
            <w:r>
              <w:rPr>
                <w:rFonts w:ascii="Calibri" w:hAnsi="Calibri"/>
                <w:b w:val="0"/>
                <w:i w:val="0"/>
                <w:color w:val="1B2A32"/>
                <w:sz w:val="18"/>
              </w:rPr>
              <w:t>War / state-sponsored exclusion</w:t>
            </w:r>
          </w:p>
        </w:tc>
        <w:tc>
          <w:tcPr>
            <w:tcW w:type="dxa" w:w="48960"/>
            <w:shd w:val="clear" w:fill="F3F7F9"/>
          </w:tcPr>
          <w:p>
            <w:r/>
            <w:r>
              <w:rPr>
                <w:rFonts w:ascii="Calibri" w:hAnsi="Calibri"/>
                <w:b w:val="0"/>
                <w:i w:val="0"/>
                <w:color w:val="1B2A32"/>
                <w:sz w:val="18"/>
              </w:rPr>
              <w:t>Attributed to a nation-state actor</w:t>
            </w:r>
          </w:p>
        </w:tc>
        <w:tc>
          <w:tcPr>
            <w:tcW w:type="dxa" w:w="57600"/>
            <w:shd w:val="clear" w:fill="F3F7F9"/>
          </w:tcPr>
          <w:p>
            <w:r/>
            <w:r>
              <w:rPr>
                <w:rFonts w:ascii="Calibri" w:hAnsi="Calibri"/>
                <w:b w:val="0"/>
                <w:i w:val="0"/>
                <w:color w:val="1B2A32"/>
                <w:sz w:val="18"/>
              </w:rPr>
              <w:t>Attribution is genuinely hard; the burden and the standard of proof are contestable</w:t>
            </w:r>
          </w:p>
        </w:tc>
      </w:tr>
      <w:tr>
        <w:tc>
          <w:tcPr>
            <w:tcW w:type="dxa" w:w="37440"/>
          </w:tcPr>
          <w:p>
            <w:r/>
            <w:r>
              <w:rPr>
                <w:rFonts w:ascii="Calibri" w:hAnsi="Calibri"/>
                <w:b w:val="0"/>
                <w:i w:val="0"/>
                <w:color w:val="1B2A32"/>
                <w:sz w:val="18"/>
              </w:rPr>
              <w:t>Business interruption (cyber)</w:t>
            </w:r>
          </w:p>
        </w:tc>
        <w:tc>
          <w:tcPr>
            <w:tcW w:type="dxa" w:w="48960"/>
          </w:tcPr>
          <w:p>
            <w:r/>
            <w:r>
              <w:rPr>
                <w:rFonts w:ascii="Calibri" w:hAnsi="Calibri"/>
                <w:b w:val="0"/>
                <w:i w:val="0"/>
                <w:color w:val="1B2A32"/>
                <w:sz w:val="18"/>
              </w:rPr>
              <w:t>Waiting-period / systems-failure carve-out</w:t>
            </w:r>
          </w:p>
        </w:tc>
        <w:tc>
          <w:tcPr>
            <w:tcW w:type="dxa" w:w="57600"/>
          </w:tcPr>
          <w:p>
            <w:r/>
            <w:r>
              <w:rPr>
                <w:rFonts w:ascii="Calibri" w:hAnsi="Calibri"/>
                <w:b w:val="0"/>
                <w:i w:val="0"/>
                <w:color w:val="1B2A32"/>
                <w:sz w:val="18"/>
              </w:rPr>
              <w:t>Computation of lost income; dependency on the trigger definition</w:t>
            </w:r>
          </w:p>
        </w:tc>
      </w:tr>
    </w:tbl>
    <w:p>
      <w:pPr>
        <w:spacing w:after="40"/>
      </w:pPr>
    </w:p>
    <w:p>
      <w:pPr>
        <w:keepNext/>
        <w:spacing w:before="200" w:after="60"/>
      </w:pPr>
      <w:r>
        <w:rPr>
          <w:rFonts w:ascii="Calibri" w:hAnsi="Calibri"/>
          <w:b/>
          <w:i w:val="0"/>
          <w:color w:val="1E7A8C"/>
          <w:sz w:val="25"/>
        </w:rPr>
        <w:t>3.12  3.12  Financial lines (credit / surety / fidelity / BBB)</w:t>
      </w:r>
    </w:p>
    <w:tbl>
      <w:tblPr>
        <w:tblStyle w:val="TableGrid"/>
        <w:tblW w:type="auto" w:w="0"/>
        <w:jc w:val="center"/>
        <w:tblLook w:firstColumn="1" w:firstRow="1" w:lastColumn="0" w:lastRow="0" w:noHBand="0" w:noVBand="1" w:val="04A0"/>
      </w:tblPr>
      <w:tblGrid>
        <w:gridCol w:w="3168"/>
        <w:gridCol w:w="3168"/>
        <w:gridCol w:w="3168"/>
      </w:tblGrid>
      <w:tr>
        <w:tc>
          <w:tcPr>
            <w:tcW w:type="dxa" w:w="37440"/>
            <w:shd w:val="clear" w:fill="123B4F"/>
          </w:tcPr>
          <w:p>
            <w:r/>
            <w:r>
              <w:rPr>
                <w:rFonts w:ascii="Calibri" w:hAnsi="Calibri"/>
                <w:b/>
                <w:i w:val="0"/>
                <w:color w:val="FFFFFF"/>
                <w:sz w:val="18"/>
              </w:rPr>
              <w:t>Sub-line</w:t>
            </w:r>
          </w:p>
        </w:tc>
        <w:tc>
          <w:tcPr>
            <w:tcW w:type="dxa" w:w="57600"/>
            <w:shd w:val="clear" w:fill="123B4F"/>
          </w:tcPr>
          <w:p>
            <w:r/>
            <w:r>
              <w:rPr>
                <w:rFonts w:ascii="Calibri" w:hAnsi="Calibri"/>
                <w:b/>
                <w:i w:val="0"/>
                <w:color w:val="FFFFFF"/>
                <w:sz w:val="18"/>
              </w:rPr>
              <w:t>Recurring disputes</w:t>
            </w:r>
          </w:p>
        </w:tc>
        <w:tc>
          <w:tcPr>
            <w:tcW w:type="dxa" w:w="48960"/>
            <w:shd w:val="clear" w:fill="123B4F"/>
          </w:tcPr>
          <w:p>
            <w:r/>
            <w:r>
              <w:rPr>
                <w:rFonts w:ascii="Calibri" w:hAnsi="Calibri"/>
                <w:b/>
                <w:i w:val="0"/>
                <w:color w:val="FFFFFF"/>
                <w:sz w:val="18"/>
              </w:rPr>
              <w:t>Key document</w:t>
            </w:r>
          </w:p>
        </w:tc>
      </w:tr>
      <w:tr>
        <w:tc>
          <w:tcPr>
            <w:tcW w:type="dxa" w:w="37440"/>
          </w:tcPr>
          <w:p>
            <w:r/>
            <w:r>
              <w:rPr>
                <w:rFonts w:ascii="Calibri" w:hAnsi="Calibri"/>
                <w:b w:val="0"/>
                <w:i w:val="0"/>
                <w:color w:val="1B2A32"/>
                <w:sz w:val="18"/>
              </w:rPr>
              <w:t>Trade credit</w:t>
            </w:r>
          </w:p>
        </w:tc>
        <w:tc>
          <w:tcPr>
            <w:tcW w:type="dxa" w:w="57600"/>
          </w:tcPr>
          <w:p>
            <w:r/>
            <w:r>
              <w:rPr>
                <w:rFonts w:ascii="Calibri" w:hAnsi="Calibri"/>
                <w:b w:val="0"/>
                <w:i w:val="0"/>
                <w:color w:val="1B2A32"/>
                <w:sz w:val="18"/>
              </w:rPr>
              <w:t>Insolvency vs protracted default trigger; credit-limit discipline; disputed debt exclusion</w:t>
            </w:r>
          </w:p>
        </w:tc>
        <w:tc>
          <w:tcPr>
            <w:tcW w:type="dxa" w:w="48960"/>
          </w:tcPr>
          <w:p>
            <w:r/>
            <w:r>
              <w:rPr>
                <w:rFonts w:ascii="Calibri" w:hAnsi="Calibri"/>
                <w:b w:val="0"/>
                <w:i w:val="0"/>
                <w:color w:val="1B2A32"/>
                <w:sz w:val="18"/>
              </w:rPr>
              <w:t>Credit-limit decisions; buyer ledger; overdue reporting</w:t>
            </w:r>
          </w:p>
        </w:tc>
      </w:tr>
      <w:tr>
        <w:tc>
          <w:tcPr>
            <w:tcW w:type="dxa" w:w="37440"/>
            <w:shd w:val="clear" w:fill="F3F7F9"/>
          </w:tcPr>
          <w:p>
            <w:r/>
            <w:r>
              <w:rPr>
                <w:rFonts w:ascii="Calibri" w:hAnsi="Calibri"/>
                <w:b w:val="0"/>
                <w:i w:val="0"/>
                <w:color w:val="1B2A32"/>
                <w:sz w:val="18"/>
              </w:rPr>
              <w:t>Surety bonds (contract/performance/advance)</w:t>
            </w:r>
          </w:p>
        </w:tc>
        <w:tc>
          <w:tcPr>
            <w:tcW w:type="dxa" w:w="57600"/>
            <w:shd w:val="clear" w:fill="F3F7F9"/>
          </w:tcPr>
          <w:p>
            <w:r/>
            <w:r>
              <w:rPr>
                <w:rFonts w:ascii="Calibri" w:hAnsi="Calibri"/>
                <w:b w:val="0"/>
                <w:i w:val="0"/>
                <w:color w:val="1B2A32"/>
                <w:sz w:val="18"/>
              </w:rPr>
              <w:t>Default certification; principal's cross-claims; call conditions</w:t>
            </w:r>
          </w:p>
        </w:tc>
        <w:tc>
          <w:tcPr>
            <w:tcW w:type="dxa" w:w="48960"/>
            <w:shd w:val="clear" w:fill="F3F7F9"/>
          </w:tcPr>
          <w:p>
            <w:r/>
            <w:r>
              <w:rPr>
                <w:rFonts w:ascii="Calibri" w:hAnsi="Calibri"/>
                <w:b w:val="0"/>
                <w:i w:val="0"/>
                <w:color w:val="1B2A32"/>
                <w:sz w:val="18"/>
              </w:rPr>
              <w:t>Underlying contract; the bond wording; notice of default</w:t>
            </w:r>
          </w:p>
        </w:tc>
      </w:tr>
      <w:tr>
        <w:tc>
          <w:tcPr>
            <w:tcW w:type="dxa" w:w="37440"/>
          </w:tcPr>
          <w:p>
            <w:r/>
            <w:r>
              <w:rPr>
                <w:rFonts w:ascii="Calibri" w:hAnsi="Calibri"/>
                <w:b w:val="0"/>
                <w:i w:val="0"/>
                <w:color w:val="1B2A32"/>
                <w:sz w:val="18"/>
              </w:rPr>
              <w:t>Fidelity guarantee</w:t>
            </w:r>
          </w:p>
        </w:tc>
        <w:tc>
          <w:tcPr>
            <w:tcW w:type="dxa" w:w="57600"/>
          </w:tcPr>
          <w:p>
            <w:r/>
            <w:r>
              <w:rPr>
                <w:rFonts w:ascii="Calibri" w:hAnsi="Calibri"/>
                <w:b w:val="0"/>
                <w:i w:val="0"/>
                <w:color w:val="1B2A32"/>
                <w:sz w:val="18"/>
              </w:rPr>
              <w:t>Employee dishonesty proof; discovery period; salary-based limit</w:t>
            </w:r>
          </w:p>
        </w:tc>
        <w:tc>
          <w:tcPr>
            <w:tcW w:type="dxa" w:w="48960"/>
          </w:tcPr>
          <w:p>
            <w:r/>
            <w:r>
              <w:rPr>
                <w:rFonts w:ascii="Calibri" w:hAnsi="Calibri"/>
                <w:b w:val="0"/>
                <w:i w:val="0"/>
                <w:color w:val="1B2A32"/>
                <w:sz w:val="18"/>
              </w:rPr>
              <w:t>Audit; FIR; reconciliation</w:t>
            </w:r>
          </w:p>
        </w:tc>
      </w:tr>
      <w:tr>
        <w:tc>
          <w:tcPr>
            <w:tcW w:type="dxa" w:w="37440"/>
            <w:shd w:val="clear" w:fill="F3F7F9"/>
          </w:tcPr>
          <w:p>
            <w:r/>
            <w:r>
              <w:rPr>
                <w:rFonts w:ascii="Calibri" w:hAnsi="Calibri"/>
                <w:b w:val="0"/>
                <w:i w:val="0"/>
                <w:color w:val="1B2A32"/>
                <w:sz w:val="18"/>
              </w:rPr>
              <w:t>Bankers' blanket bond (BBB)</w:t>
            </w:r>
          </w:p>
        </w:tc>
        <w:tc>
          <w:tcPr>
            <w:tcW w:type="dxa" w:w="57600"/>
            <w:shd w:val="clear" w:fill="F3F7F9"/>
          </w:tcPr>
          <w:p>
            <w:r/>
            <w:r>
              <w:rPr>
                <w:rFonts w:ascii="Calibri" w:hAnsi="Calibri"/>
                <w:b w:val="0"/>
                <w:i w:val="0"/>
                <w:color w:val="1B2A32"/>
                <w:sz w:val="18"/>
              </w:rPr>
              <w:t>On-premises vs in-transit; forgery vs computer-crime section; single vs aggregate loss</w:t>
            </w:r>
          </w:p>
        </w:tc>
        <w:tc>
          <w:tcPr>
            <w:tcW w:type="dxa" w:w="48960"/>
            <w:shd w:val="clear" w:fill="F3F7F9"/>
          </w:tcPr>
          <w:p>
            <w:r/>
            <w:r>
              <w:rPr>
                <w:rFonts w:ascii="Calibri" w:hAnsi="Calibri"/>
                <w:b w:val="0"/>
                <w:i w:val="0"/>
                <w:color w:val="1B2A32"/>
                <w:sz w:val="18"/>
              </w:rPr>
              <w:t>Investigation; internal-control evidence</w:t>
            </w:r>
          </w:p>
        </w:tc>
      </w:tr>
    </w:tbl>
    <w:p>
      <w:pPr>
        <w:spacing w:after="40"/>
      </w:pPr>
    </w:p>
    <w:p>
      <w:pPr>
        <w:keepNext/>
        <w:spacing w:before="200" w:after="60"/>
      </w:pPr>
      <w:r>
        <w:rPr>
          <w:rFonts w:ascii="Calibri" w:hAnsi="Calibri"/>
          <w:b/>
          <w:i w:val="0"/>
          <w:color w:val="1E7A8C"/>
          <w:sz w:val="25"/>
        </w:rPr>
        <w:t>3.13  3.13  Employees' Compensation (WC) insurance</w:t>
      </w:r>
    </w:p>
    <w:tbl>
      <w:tblPr>
        <w:tblW w:type="auto" w:w="0"/>
        <w:jc w:val="center"/>
        <w:tblLook w:firstColumn="1" w:firstRow="1" w:lastColumn="0" w:lastRow="0" w:noHBand="0" w:noVBand="1" w:val="04A0"/>
      </w:tblPr>
      <w:tblGrid>
        <w:gridCol w:w="9504"/>
      </w:tblGrid>
      <w:tr>
        <w:tc>
          <w:tcPr>
            <w:tcW w:type="dxa" w:w="9360"/>
            <w:shd w:val="clear" w:fill="F6E0E4"/>
            <w:tcBorders>
              <w:start w:val="single" w:sz="22" w:space="0" w:color="B23A48"/>
            </w:tcBorders>
          </w:tcPr>
          <w:p>
            <w:r>
              <w:rPr>
                <w:rFonts w:ascii="Calibri" w:hAnsi="Calibri"/>
                <w:b/>
                <w:i w:val="0"/>
                <w:color w:val="B23A48"/>
                <w:sz w:val="18"/>
              </w:rPr>
              <w:t>A SPECIAL FORUM DISPLACES THE OMBUDSMAN</w:t>
            </w:r>
          </w:p>
          <w:p>
            <w:r>
              <w:rPr>
                <w:rFonts w:ascii="Calibri" w:hAnsi="Calibri"/>
                <w:b w:val="0"/>
                <w:i w:val="0"/>
                <w:color w:val="1B2A32"/>
                <w:sz w:val="19"/>
              </w:rPr>
              <w:t xml:space="preserve">A workman's claim for compensation for an employment injury or death lies before the </w:t>
            </w:r>
            <w:r>
              <w:rPr>
                <w:rFonts w:ascii="Calibri" w:hAnsi="Calibri"/>
                <w:b/>
                <w:i w:val="0"/>
                <w:color w:val="1B2A32"/>
                <w:sz w:val="19"/>
              </w:rPr>
              <w:t>Commissioner for Employees' Compensation</w:t>
            </w:r>
            <w:r>
              <w:rPr>
                <w:rFonts w:ascii="Calibri" w:hAnsi="Calibri"/>
                <w:b w:val="0"/>
                <w:i w:val="0"/>
                <w:color w:val="1B2A32"/>
                <w:sz w:val="19"/>
              </w:rPr>
              <w:t xml:space="preserve"> under the Employees' Compensation Act, 1923 (now within the Code on Social Security, 2020 as and when its provisions are notified [verify]). The insurer indemnifies the employer's statutory liability. Equator's role is limited: it can help an </w:t>
            </w:r>
            <w:r>
              <w:rPr>
                <w:rFonts w:ascii="Calibri" w:hAnsi="Calibri"/>
                <w:b/>
                <w:i w:val="0"/>
                <w:color w:val="1B2A32"/>
                <w:sz w:val="19"/>
              </w:rPr>
              <w:t>employer and insurer</w:t>
            </w:r>
            <w:r>
              <w:rPr>
                <w:rFonts w:ascii="Calibri" w:hAnsi="Calibri"/>
                <w:b w:val="0"/>
                <w:i w:val="0"/>
                <w:color w:val="1B2A32"/>
                <w:sz w:val="19"/>
              </w:rPr>
              <w:t xml:space="preserve"> resolve a coverage or quantum dispute *between them* (e.g. whether the injury arose out of and in the course of employment as the policy requires), and mediate the employer–employee compensation where the Commissioner permits; it does not displace the Commissioner.</w:t>
            </w:r>
          </w:p>
        </w:tc>
      </w:tr>
    </w:tbl>
    <w:p>
      <w:pPr>
        <w:spacing w:after="40"/>
      </w:pPr>
    </w:p>
    <w:tbl>
      <w:tblPr>
        <w:tblStyle w:val="TableGrid"/>
        <w:tblW w:type="auto" w:w="0"/>
        <w:jc w:val="center"/>
        <w:tblLook w:firstColumn="1" w:firstRow="1" w:lastColumn="0" w:lastRow="0" w:noHBand="0" w:noVBand="1" w:val="04A0"/>
      </w:tblPr>
      <w:tblGrid>
        <w:gridCol w:w="3168"/>
        <w:gridCol w:w="3168"/>
        <w:gridCol w:w="3168"/>
      </w:tblGrid>
      <w:tr>
        <w:tc>
          <w:tcPr>
            <w:tcW w:type="dxa" w:w="48960"/>
            <w:shd w:val="clear" w:fill="123B4F"/>
          </w:tcPr>
          <w:p>
            <w:r/>
            <w:r>
              <w:rPr>
                <w:rFonts w:ascii="Calibri" w:hAnsi="Calibri"/>
                <w:b/>
                <w:i w:val="0"/>
                <w:color w:val="FFFFFF"/>
                <w:sz w:val="18"/>
              </w:rPr>
              <w:t>Dispute</w:t>
            </w:r>
          </w:p>
        </w:tc>
        <w:tc>
          <w:tcPr>
            <w:tcW w:type="dxa" w:w="43200"/>
            <w:shd w:val="clear" w:fill="123B4F"/>
          </w:tcPr>
          <w:p>
            <w:r/>
            <w:r>
              <w:rPr>
                <w:rFonts w:ascii="Calibri" w:hAnsi="Calibri"/>
                <w:b/>
                <w:i w:val="0"/>
                <w:color w:val="FFFFFF"/>
                <w:sz w:val="18"/>
              </w:rPr>
              <w:t>Between</w:t>
            </w:r>
          </w:p>
        </w:tc>
        <w:tc>
          <w:tcPr>
            <w:tcW w:type="dxa" w:w="51840"/>
            <w:shd w:val="clear" w:fill="123B4F"/>
          </w:tcPr>
          <w:p>
            <w:r/>
            <w:r>
              <w:rPr>
                <w:rFonts w:ascii="Calibri" w:hAnsi="Calibri"/>
                <w:b/>
                <w:i w:val="0"/>
                <w:color w:val="FFFFFF"/>
                <w:sz w:val="18"/>
              </w:rPr>
              <w:t>Note</w:t>
            </w:r>
          </w:p>
        </w:tc>
      </w:tr>
      <w:tr>
        <w:tc>
          <w:tcPr>
            <w:tcW w:type="dxa" w:w="48960"/>
          </w:tcPr>
          <w:p>
            <w:r/>
            <w:r>
              <w:rPr>
                <w:rFonts w:ascii="Calibri" w:hAnsi="Calibri"/>
                <w:b w:val="0"/>
                <w:i w:val="0"/>
                <w:color w:val="1B2A32"/>
                <w:sz w:val="18"/>
              </w:rPr>
              <w:t>Arising 'out of and in the course of' employment</w:t>
            </w:r>
          </w:p>
        </w:tc>
        <w:tc>
          <w:tcPr>
            <w:tcW w:type="dxa" w:w="43200"/>
          </w:tcPr>
          <w:p>
            <w:r/>
            <w:r>
              <w:rPr>
                <w:rFonts w:ascii="Calibri" w:hAnsi="Calibri"/>
                <w:b w:val="0"/>
                <w:i w:val="0"/>
                <w:color w:val="1B2A32"/>
                <w:sz w:val="18"/>
              </w:rPr>
              <w:t>Insurer &amp; employer</w:t>
            </w:r>
          </w:p>
        </w:tc>
        <w:tc>
          <w:tcPr>
            <w:tcW w:type="dxa" w:w="51840"/>
          </w:tcPr>
          <w:p>
            <w:r/>
            <w:r>
              <w:rPr>
                <w:rFonts w:ascii="Calibri" w:hAnsi="Calibri"/>
                <w:b w:val="0"/>
                <w:i w:val="0"/>
                <w:color w:val="1B2A32"/>
                <w:sz w:val="18"/>
              </w:rPr>
              <w:t>The coverage trigger; contractor/principal liability chains</w:t>
            </w:r>
          </w:p>
        </w:tc>
      </w:tr>
      <w:tr>
        <w:tc>
          <w:tcPr>
            <w:tcW w:type="dxa" w:w="48960"/>
            <w:shd w:val="clear" w:fill="F3F7F9"/>
          </w:tcPr>
          <w:p>
            <w:r/>
            <w:r>
              <w:rPr>
                <w:rFonts w:ascii="Calibri" w:hAnsi="Calibri"/>
                <w:b w:val="0"/>
                <w:i w:val="0"/>
                <w:color w:val="1B2A32"/>
                <w:sz w:val="18"/>
              </w:rPr>
              <w:t>Wage basis &amp; compensation computation</w:t>
            </w:r>
          </w:p>
        </w:tc>
        <w:tc>
          <w:tcPr>
            <w:tcW w:type="dxa" w:w="43200"/>
            <w:shd w:val="clear" w:fill="F3F7F9"/>
          </w:tcPr>
          <w:p>
            <w:r/>
            <w:r>
              <w:rPr>
                <w:rFonts w:ascii="Calibri" w:hAnsi="Calibri"/>
                <w:b w:val="0"/>
                <w:i w:val="0"/>
                <w:color w:val="1B2A32"/>
                <w:sz w:val="18"/>
              </w:rPr>
              <w:t>Employer &amp; employee (Commissioner)</w:t>
            </w:r>
          </w:p>
        </w:tc>
        <w:tc>
          <w:tcPr>
            <w:tcW w:type="dxa" w:w="51840"/>
            <w:shd w:val="clear" w:fill="F3F7F9"/>
          </w:tcPr>
          <w:p>
            <w:r/>
            <w:r>
              <w:rPr>
                <w:rFonts w:ascii="Calibri" w:hAnsi="Calibri"/>
                <w:b w:val="0"/>
                <w:i w:val="0"/>
                <w:color w:val="1B2A32"/>
                <w:sz w:val="18"/>
              </w:rPr>
              <w:t>Statutory formula; Equator may mediate quantum with leave</w:t>
            </w:r>
          </w:p>
        </w:tc>
      </w:tr>
      <w:tr>
        <w:tc>
          <w:tcPr>
            <w:tcW w:type="dxa" w:w="48960"/>
          </w:tcPr>
          <w:p>
            <w:r/>
            <w:r>
              <w:rPr>
                <w:rFonts w:ascii="Calibri" w:hAnsi="Calibri"/>
                <w:b w:val="0"/>
                <w:i w:val="0"/>
                <w:color w:val="1B2A32"/>
                <w:sz w:val="18"/>
              </w:rPr>
              <w:t>Contractor vs principal employer</w:t>
            </w:r>
          </w:p>
        </w:tc>
        <w:tc>
          <w:tcPr>
            <w:tcW w:type="dxa" w:w="43200"/>
          </w:tcPr>
          <w:p>
            <w:r/>
            <w:r>
              <w:rPr>
                <w:rFonts w:ascii="Calibri" w:hAnsi="Calibri"/>
                <w:b w:val="0"/>
                <w:i w:val="0"/>
                <w:color w:val="1B2A32"/>
                <w:sz w:val="18"/>
              </w:rPr>
              <w:t>Multiple employers</w:t>
            </w:r>
          </w:p>
        </w:tc>
        <w:tc>
          <w:tcPr>
            <w:tcW w:type="dxa" w:w="51840"/>
          </w:tcPr>
          <w:p>
            <w:r/>
            <w:r>
              <w:rPr>
                <w:rFonts w:ascii="Calibri" w:hAnsi="Calibri"/>
                <w:b w:val="0"/>
                <w:i w:val="0"/>
                <w:color w:val="1B2A32"/>
                <w:sz w:val="18"/>
              </w:rPr>
              <w:t>Apportionment is mediable</w:t>
            </w:r>
          </w:p>
        </w:tc>
      </w:tr>
      <w:tr>
        <w:tc>
          <w:tcPr>
            <w:tcW w:type="dxa" w:w="48960"/>
            <w:shd w:val="clear" w:fill="F3F7F9"/>
          </w:tcPr>
          <w:p>
            <w:r/>
            <w:r>
              <w:rPr>
                <w:rFonts w:ascii="Calibri" w:hAnsi="Calibri"/>
                <w:b w:val="0"/>
                <w:i w:val="0"/>
                <w:color w:val="1B2A32"/>
                <w:sz w:val="18"/>
              </w:rPr>
              <w:t>Add-on medical / common-law top-up</w:t>
            </w:r>
          </w:p>
        </w:tc>
        <w:tc>
          <w:tcPr>
            <w:tcW w:type="dxa" w:w="43200"/>
            <w:shd w:val="clear" w:fill="F3F7F9"/>
          </w:tcPr>
          <w:p>
            <w:r/>
            <w:r>
              <w:rPr>
                <w:rFonts w:ascii="Calibri" w:hAnsi="Calibri"/>
                <w:b w:val="0"/>
                <w:i w:val="0"/>
                <w:color w:val="1B2A32"/>
                <w:sz w:val="18"/>
              </w:rPr>
              <w:t>Insurer &amp; employer</w:t>
            </w:r>
          </w:p>
        </w:tc>
        <w:tc>
          <w:tcPr>
            <w:tcW w:type="dxa" w:w="51840"/>
            <w:shd w:val="clear" w:fill="F3F7F9"/>
          </w:tcPr>
          <w:p>
            <w:r/>
            <w:r>
              <w:rPr>
                <w:rFonts w:ascii="Calibri" w:hAnsi="Calibri"/>
                <w:b w:val="0"/>
                <w:i w:val="0"/>
                <w:color w:val="1B2A32"/>
                <w:sz w:val="18"/>
              </w:rPr>
              <w:t>Employers' liability overlap</w:t>
            </w:r>
          </w:p>
        </w:tc>
      </w:tr>
    </w:tbl>
    <w:p>
      <w:pPr>
        <w:spacing w:after="40"/>
      </w:pPr>
    </w:p>
    <w:p>
      <w:pPr>
        <w:keepNext/>
        <w:spacing w:before="200" w:after="60"/>
      </w:pPr>
      <w:r>
        <w:rPr>
          <w:rFonts w:ascii="Calibri" w:hAnsi="Calibri"/>
          <w:b/>
          <w:i w:val="0"/>
          <w:color w:val="1E7A8C"/>
          <w:sz w:val="25"/>
        </w:rPr>
        <w:t>3.14  3.14  Crop &amp; rural (PMFBY and beyond)</w:t>
      </w:r>
    </w:p>
    <w:tbl>
      <w:tblPr>
        <w:tblW w:type="auto" w:w="0"/>
        <w:jc w:val="center"/>
        <w:tblLook w:firstColumn="1" w:firstRow="1" w:lastColumn="0" w:lastRow="0" w:noHBand="0" w:noVBand="1" w:val="04A0"/>
      </w:tblPr>
      <w:tblGrid>
        <w:gridCol w:w="9504"/>
      </w:tblGrid>
      <w:tr>
        <w:tc>
          <w:tcPr>
            <w:tcW w:type="dxa" w:w="9360"/>
            <w:shd w:val="clear" w:fill="F6E0E4"/>
            <w:tcBorders>
              <w:start w:val="single" w:sz="22" w:space="0" w:color="B23A48"/>
            </w:tcBorders>
          </w:tcPr>
          <w:p>
            <w:r>
              <w:rPr>
                <w:rFonts w:ascii="Calibri" w:hAnsi="Calibri"/>
                <w:b/>
                <w:i w:val="0"/>
                <w:color w:val="B23A48"/>
                <w:sz w:val="18"/>
              </w:rPr>
              <w:t>CROP DISPUTES RUN THEIR OWN LADDER</w:t>
            </w:r>
          </w:p>
          <w:p>
            <w:r>
              <w:rPr>
                <w:rFonts w:ascii="Calibri" w:hAnsi="Calibri"/>
                <w:b w:val="0"/>
                <w:i w:val="0"/>
                <w:color w:val="1B2A32"/>
                <w:sz w:val="19"/>
              </w:rPr>
              <w:t xml:space="preserve">PMFBY and the Restructured Weather-Based Crop Insurance Scheme are </w:t>
            </w:r>
            <w:r>
              <w:rPr>
                <w:rFonts w:ascii="Calibri" w:hAnsi="Calibri"/>
                <w:b/>
                <w:i w:val="0"/>
                <w:color w:val="1B2A32"/>
                <w:sz w:val="19"/>
              </w:rPr>
              <w:t>not</w:t>
            </w:r>
            <w:r>
              <w:rPr>
                <w:rFonts w:ascii="Calibri" w:hAnsi="Calibri"/>
                <w:b w:val="0"/>
                <w:i w:val="0"/>
                <w:color w:val="1B2A32"/>
                <w:sz w:val="19"/>
              </w:rPr>
              <w:t xml:space="preserve"> Ombudsman matters. Grievances go through the bank/CSC, the </w:t>
            </w:r>
            <w:r>
              <w:rPr>
                <w:rFonts w:ascii="Calibri" w:hAnsi="Calibri"/>
                <w:b/>
                <w:i w:val="0"/>
                <w:color w:val="1B2A32"/>
                <w:sz w:val="19"/>
              </w:rPr>
              <w:t>District Level Grievance Redressal Committee (DGRC)</w:t>
            </w:r>
            <w:r>
              <w:rPr>
                <w:rFonts w:ascii="Calibri" w:hAnsi="Calibri"/>
                <w:b w:val="0"/>
                <w:i w:val="0"/>
                <w:color w:val="1B2A32"/>
                <w:sz w:val="19"/>
              </w:rPr>
              <w:t xml:space="preserve">, and the </w:t>
            </w:r>
            <w:r>
              <w:rPr>
                <w:rFonts w:ascii="Calibri" w:hAnsi="Calibri"/>
                <w:b/>
                <w:i w:val="0"/>
                <w:color w:val="1B2A32"/>
                <w:sz w:val="19"/>
              </w:rPr>
              <w:t>State Level Grievance Redressal Committee (SGRC)</w:t>
            </w:r>
            <w:r>
              <w:rPr>
                <w:rFonts w:ascii="Calibri" w:hAnsi="Calibri"/>
                <w:b w:val="0"/>
                <w:i w:val="0"/>
                <w:color w:val="1B2A32"/>
                <w:sz w:val="19"/>
              </w:rPr>
              <w:t xml:space="preserve">, which resolves within 15 days; the </w:t>
            </w:r>
            <w:r>
              <w:rPr>
                <w:rFonts w:ascii="Calibri" w:hAnsi="Calibri"/>
                <w:b/>
                <w:i w:val="0"/>
                <w:color w:val="1B2A32"/>
                <w:sz w:val="19"/>
              </w:rPr>
              <w:t>Krishi Rakshak Portal &amp; Helpline</w:t>
            </w:r>
            <w:r>
              <w:rPr>
                <w:rFonts w:ascii="Calibri" w:hAnsi="Calibri"/>
                <w:b w:val="0"/>
                <w:i w:val="0"/>
                <w:color w:val="1B2A32"/>
                <w:sz w:val="19"/>
              </w:rPr>
              <w:t xml:space="preserve"> (launched 24 February 2024) is the single-window channel. The recurring causes of dispute are delayed yield data, late premium-subsidy release by States, yield disputes between insurers and States, and NEFT/account failures. [verify — current operational guidelines]</w:t>
            </w:r>
          </w:p>
        </w:tc>
      </w:tr>
    </w:tbl>
    <w:p>
      <w:pPr>
        <w:spacing w:after="40"/>
      </w:pPr>
    </w:p>
    <w:tbl>
      <w:tblPr>
        <w:tblStyle w:val="TableGrid"/>
        <w:tblW w:type="auto" w:w="0"/>
        <w:jc w:val="center"/>
        <w:tblLook w:firstColumn="1" w:firstRow="1" w:lastColumn="0" w:lastRow="0" w:noHBand="0" w:noVBand="1" w:val="04A0"/>
      </w:tblPr>
      <w:tblGrid>
        <w:gridCol w:w="3168"/>
        <w:gridCol w:w="3168"/>
        <w:gridCol w:w="3168"/>
      </w:tblGrid>
      <w:tr>
        <w:tc>
          <w:tcPr>
            <w:tcW w:type="dxa" w:w="31680"/>
            <w:shd w:val="clear" w:fill="123B4F"/>
          </w:tcPr>
          <w:p>
            <w:r/>
            <w:r>
              <w:rPr>
                <w:rFonts w:ascii="Calibri" w:hAnsi="Calibri"/>
                <w:b/>
                <w:i w:val="0"/>
                <w:color w:val="FFFFFF"/>
                <w:sz w:val="18"/>
              </w:rPr>
              <w:t>Line</w:t>
            </w:r>
          </w:p>
        </w:tc>
        <w:tc>
          <w:tcPr>
            <w:tcW w:type="dxa" w:w="63360"/>
            <w:shd w:val="clear" w:fill="123B4F"/>
          </w:tcPr>
          <w:p>
            <w:r/>
            <w:r>
              <w:rPr>
                <w:rFonts w:ascii="Calibri" w:hAnsi="Calibri"/>
                <w:b/>
                <w:i w:val="0"/>
                <w:color w:val="FFFFFF"/>
                <w:sz w:val="18"/>
              </w:rPr>
              <w:t>Recurring disputes</w:t>
            </w:r>
          </w:p>
        </w:tc>
        <w:tc>
          <w:tcPr>
            <w:tcW w:type="dxa" w:w="48960"/>
            <w:shd w:val="clear" w:fill="123B4F"/>
          </w:tcPr>
          <w:p>
            <w:r/>
            <w:r>
              <w:rPr>
                <w:rFonts w:ascii="Calibri" w:hAnsi="Calibri"/>
                <w:b/>
                <w:i w:val="0"/>
                <w:color w:val="FFFFFF"/>
                <w:sz w:val="18"/>
              </w:rPr>
              <w:t>Forum / note</w:t>
            </w:r>
          </w:p>
        </w:tc>
      </w:tr>
      <w:tr>
        <w:tc>
          <w:tcPr>
            <w:tcW w:type="dxa" w:w="31680"/>
          </w:tcPr>
          <w:p>
            <w:r/>
            <w:r>
              <w:rPr>
                <w:rFonts w:ascii="Calibri" w:hAnsi="Calibri"/>
                <w:b w:val="0"/>
                <w:i w:val="0"/>
                <w:color w:val="1B2A32"/>
                <w:sz w:val="18"/>
              </w:rPr>
              <w:t>PMFBY crop</w:t>
            </w:r>
          </w:p>
        </w:tc>
        <w:tc>
          <w:tcPr>
            <w:tcW w:type="dxa" w:w="63360"/>
          </w:tcPr>
          <w:p>
            <w:r/>
            <w:r>
              <w:rPr>
                <w:rFonts w:ascii="Calibri" w:hAnsi="Calibri"/>
                <w:b w:val="0"/>
                <w:i w:val="0"/>
                <w:color w:val="1B2A32"/>
                <w:sz w:val="18"/>
              </w:rPr>
              <w:t>Sowing-failure &amp; prevented-sowing; localised-calamity assessment; CCE yield vs claimed loss; mid-season adversity; post-harvest cyclone damage</w:t>
            </w:r>
          </w:p>
        </w:tc>
        <w:tc>
          <w:tcPr>
            <w:tcW w:type="dxa" w:w="48960"/>
          </w:tcPr>
          <w:p>
            <w:r/>
            <w:r>
              <w:rPr>
                <w:rFonts w:ascii="Calibri" w:hAnsi="Calibri"/>
                <w:b w:val="0"/>
                <w:i w:val="0"/>
                <w:color w:val="1B2A32"/>
                <w:sz w:val="18"/>
              </w:rPr>
              <w:t>DGRC → SGRC; Krishi Rakshak</w:t>
            </w:r>
          </w:p>
        </w:tc>
      </w:tr>
      <w:tr>
        <w:tc>
          <w:tcPr>
            <w:tcW w:type="dxa" w:w="31680"/>
            <w:shd w:val="clear" w:fill="F3F7F9"/>
          </w:tcPr>
          <w:p>
            <w:r/>
            <w:r>
              <w:rPr>
                <w:rFonts w:ascii="Calibri" w:hAnsi="Calibri"/>
                <w:b w:val="0"/>
                <w:i w:val="0"/>
                <w:color w:val="1B2A32"/>
                <w:sz w:val="18"/>
              </w:rPr>
              <w:t>Weather-based (RWBCIS)</w:t>
            </w:r>
          </w:p>
        </w:tc>
        <w:tc>
          <w:tcPr>
            <w:tcW w:type="dxa" w:w="63360"/>
            <w:shd w:val="clear" w:fill="F3F7F9"/>
          </w:tcPr>
          <w:p>
            <w:r/>
            <w:r>
              <w:rPr>
                <w:rFonts w:ascii="Calibri" w:hAnsi="Calibri"/>
                <w:b w:val="0"/>
                <w:i w:val="0"/>
                <w:color w:val="1B2A32"/>
                <w:sz w:val="18"/>
              </w:rPr>
              <w:t>Weather-index trigger vs actual loss (basis risk); reference weather station</w:t>
            </w:r>
          </w:p>
        </w:tc>
        <w:tc>
          <w:tcPr>
            <w:tcW w:type="dxa" w:w="48960"/>
            <w:shd w:val="clear" w:fill="F3F7F9"/>
          </w:tcPr>
          <w:p>
            <w:r/>
            <w:r>
              <w:rPr>
                <w:rFonts w:ascii="Calibri" w:hAnsi="Calibri"/>
                <w:b w:val="0"/>
                <w:i w:val="0"/>
                <w:color w:val="1B2A32"/>
                <w:sz w:val="18"/>
              </w:rPr>
              <w:t>Scheme machinery</w:t>
            </w:r>
          </w:p>
        </w:tc>
      </w:tr>
      <w:tr>
        <w:tc>
          <w:tcPr>
            <w:tcW w:type="dxa" w:w="31680"/>
          </w:tcPr>
          <w:p>
            <w:r/>
            <w:r>
              <w:rPr>
                <w:rFonts w:ascii="Calibri" w:hAnsi="Calibri"/>
                <w:b w:val="0"/>
                <w:i w:val="0"/>
                <w:color w:val="1B2A32"/>
                <w:sz w:val="18"/>
              </w:rPr>
              <w:t>Cattle / livestock</w:t>
            </w:r>
          </w:p>
        </w:tc>
        <w:tc>
          <w:tcPr>
            <w:tcW w:type="dxa" w:w="63360"/>
          </w:tcPr>
          <w:p>
            <w:r/>
            <w:r>
              <w:rPr>
                <w:rFonts w:ascii="Calibri" w:hAnsi="Calibri"/>
                <w:b w:val="0"/>
                <w:i w:val="0"/>
                <w:color w:val="1B2A32"/>
                <w:sz w:val="18"/>
              </w:rPr>
              <w:t>Tag-loss / identification; valuation; death causation; post-mortem</w:t>
            </w:r>
          </w:p>
        </w:tc>
        <w:tc>
          <w:tcPr>
            <w:tcW w:type="dxa" w:w="48960"/>
          </w:tcPr>
          <w:p>
            <w:r/>
            <w:r>
              <w:rPr>
                <w:rFonts w:ascii="Calibri" w:hAnsi="Calibri"/>
                <w:b w:val="0"/>
                <w:i w:val="0"/>
                <w:color w:val="1B2A32"/>
                <w:sz w:val="18"/>
              </w:rPr>
              <w:t>Insurer grievance → Ombudsman</w:t>
            </w:r>
          </w:p>
        </w:tc>
      </w:tr>
      <w:tr>
        <w:tc>
          <w:tcPr>
            <w:tcW w:type="dxa" w:w="31680"/>
            <w:shd w:val="clear" w:fill="F3F7F9"/>
          </w:tcPr>
          <w:p>
            <w:r/>
            <w:r>
              <w:rPr>
                <w:rFonts w:ascii="Calibri" w:hAnsi="Calibri"/>
                <w:b w:val="0"/>
                <w:i w:val="0"/>
                <w:color w:val="1B2A32"/>
                <w:sz w:val="18"/>
              </w:rPr>
              <w:t>Poultry / aquaculture / sericulture</w:t>
            </w:r>
          </w:p>
        </w:tc>
        <w:tc>
          <w:tcPr>
            <w:tcW w:type="dxa" w:w="63360"/>
            <w:shd w:val="clear" w:fill="F3F7F9"/>
          </w:tcPr>
          <w:p>
            <w:r/>
            <w:r>
              <w:rPr>
                <w:rFonts w:ascii="Calibri" w:hAnsi="Calibri"/>
                <w:b w:val="0"/>
                <w:i w:val="0"/>
                <w:color w:val="1B2A32"/>
                <w:sz w:val="18"/>
              </w:rPr>
              <w:t>Mortality causation; bio-security warranty; stocking density</w:t>
            </w:r>
          </w:p>
        </w:tc>
        <w:tc>
          <w:tcPr>
            <w:tcW w:type="dxa" w:w="48960"/>
            <w:shd w:val="clear" w:fill="F3F7F9"/>
          </w:tcPr>
          <w:p>
            <w:r/>
            <w:r>
              <w:rPr>
                <w:rFonts w:ascii="Calibri" w:hAnsi="Calibri"/>
                <w:b w:val="0"/>
                <w:i w:val="0"/>
                <w:color w:val="1B2A32"/>
                <w:sz w:val="18"/>
              </w:rPr>
              <w:t>Insurer grievance → Ombudsman</w:t>
            </w:r>
          </w:p>
        </w:tc>
      </w:tr>
      <w:tr>
        <w:tc>
          <w:tcPr>
            <w:tcW w:type="dxa" w:w="31680"/>
          </w:tcPr>
          <w:p>
            <w:r/>
            <w:r>
              <w:rPr>
                <w:rFonts w:ascii="Calibri" w:hAnsi="Calibri"/>
                <w:b w:val="0"/>
                <w:i w:val="0"/>
                <w:color w:val="1B2A32"/>
                <w:sz w:val="18"/>
              </w:rPr>
              <w:t>Farm package / pump-set</w:t>
            </w:r>
          </w:p>
        </w:tc>
        <w:tc>
          <w:tcPr>
            <w:tcW w:type="dxa" w:w="63360"/>
          </w:tcPr>
          <w:p>
            <w:r/>
            <w:r>
              <w:rPr>
                <w:rFonts w:ascii="Calibri" w:hAnsi="Calibri"/>
                <w:b w:val="0"/>
                <w:i w:val="0"/>
                <w:color w:val="1B2A32"/>
                <w:sz w:val="18"/>
              </w:rPr>
              <w:t>Burglary; breakdown; lightning</w:t>
            </w:r>
          </w:p>
        </w:tc>
        <w:tc>
          <w:tcPr>
            <w:tcW w:type="dxa" w:w="48960"/>
          </w:tcPr>
          <w:p>
            <w:r/>
            <w:r>
              <w:rPr>
                <w:rFonts w:ascii="Calibri" w:hAnsi="Calibri"/>
                <w:b w:val="0"/>
                <w:i w:val="0"/>
                <w:color w:val="1B2A32"/>
                <w:sz w:val="18"/>
              </w:rPr>
              <w:t>Insurer grievance → Ombudsman</w:t>
            </w:r>
          </w:p>
        </w:tc>
      </w:tr>
    </w:tbl>
    <w:p>
      <w:pPr>
        <w:spacing w:after="40"/>
      </w:pPr>
    </w:p>
    <w:p>
      <w:pPr>
        <w:keepNext/>
        <w:spacing w:before="200" w:after="60"/>
      </w:pPr>
      <w:r>
        <w:rPr>
          <w:rFonts w:ascii="Calibri" w:hAnsi="Calibri"/>
          <w:b/>
          <w:i w:val="0"/>
          <w:color w:val="1E7A8C"/>
          <w:sz w:val="25"/>
        </w:rPr>
        <w:t>3.15  3.15  Title &amp; specialty</w:t>
      </w:r>
    </w:p>
    <w:tbl>
      <w:tblPr>
        <w:tblStyle w:val="TableGrid"/>
        <w:tblW w:type="auto" w:w="0"/>
        <w:jc w:val="center"/>
        <w:tblLook w:firstColumn="1" w:firstRow="1" w:lastColumn="0" w:lastRow="0" w:noHBand="0" w:noVBand="1" w:val="04A0"/>
      </w:tblPr>
      <w:tblGrid>
        <w:gridCol w:w="3168"/>
        <w:gridCol w:w="3168"/>
        <w:gridCol w:w="3168"/>
      </w:tblGrid>
      <w:tr>
        <w:tc>
          <w:tcPr>
            <w:tcW w:type="dxa" w:w="31680"/>
            <w:shd w:val="clear" w:fill="123B4F"/>
          </w:tcPr>
          <w:p>
            <w:r/>
            <w:r>
              <w:rPr>
                <w:rFonts w:ascii="Calibri" w:hAnsi="Calibri"/>
                <w:b/>
                <w:i w:val="0"/>
                <w:color w:val="FFFFFF"/>
                <w:sz w:val="18"/>
              </w:rPr>
              <w:t>Line</w:t>
            </w:r>
          </w:p>
        </w:tc>
        <w:tc>
          <w:tcPr>
            <w:tcW w:type="dxa" w:w="63360"/>
            <w:shd w:val="clear" w:fill="123B4F"/>
          </w:tcPr>
          <w:p>
            <w:r/>
            <w:r>
              <w:rPr>
                <w:rFonts w:ascii="Calibri" w:hAnsi="Calibri"/>
                <w:b/>
                <w:i w:val="0"/>
                <w:color w:val="FFFFFF"/>
                <w:sz w:val="18"/>
              </w:rPr>
              <w:t>Recurring disputes</w:t>
            </w:r>
          </w:p>
        </w:tc>
        <w:tc>
          <w:tcPr>
            <w:tcW w:type="dxa" w:w="48960"/>
            <w:shd w:val="clear" w:fill="123B4F"/>
          </w:tcPr>
          <w:p>
            <w:r/>
            <w:r>
              <w:rPr>
                <w:rFonts w:ascii="Calibri" w:hAnsi="Calibri"/>
                <w:b/>
                <w:i w:val="0"/>
                <w:color w:val="FFFFFF"/>
                <w:sz w:val="18"/>
              </w:rPr>
              <w:t>Key document</w:t>
            </w:r>
          </w:p>
        </w:tc>
      </w:tr>
      <w:tr>
        <w:tc>
          <w:tcPr>
            <w:tcW w:type="dxa" w:w="31680"/>
          </w:tcPr>
          <w:p>
            <w:r/>
            <w:r>
              <w:rPr>
                <w:rFonts w:ascii="Calibri" w:hAnsi="Calibri"/>
                <w:b w:val="0"/>
                <w:i w:val="0"/>
                <w:color w:val="1B2A32"/>
                <w:sz w:val="18"/>
              </w:rPr>
              <w:t>Title insurance</w:t>
            </w:r>
          </w:p>
        </w:tc>
        <w:tc>
          <w:tcPr>
            <w:tcW w:type="dxa" w:w="63360"/>
          </w:tcPr>
          <w:p>
            <w:r/>
            <w:r>
              <w:rPr>
                <w:rFonts w:ascii="Calibri" w:hAnsi="Calibri"/>
                <w:b w:val="0"/>
                <w:i w:val="0"/>
                <w:color w:val="1B2A32"/>
                <w:sz w:val="18"/>
              </w:rPr>
              <w:t>Defect discovered post-purchase; prior-encumbrance; the search's scope; developer vs buyer cover</w:t>
            </w:r>
          </w:p>
        </w:tc>
        <w:tc>
          <w:tcPr>
            <w:tcW w:type="dxa" w:w="48960"/>
          </w:tcPr>
          <w:p>
            <w:r/>
            <w:r>
              <w:rPr>
                <w:rFonts w:ascii="Calibri" w:hAnsi="Calibri"/>
                <w:b w:val="0"/>
                <w:i w:val="0"/>
                <w:color w:val="1B2A32"/>
                <w:sz w:val="18"/>
              </w:rPr>
              <w:t>Title search; policy schedule; the RERA context</w:t>
            </w:r>
          </w:p>
        </w:tc>
      </w:tr>
      <w:tr>
        <w:tc>
          <w:tcPr>
            <w:tcW w:type="dxa" w:w="31680"/>
            <w:shd w:val="clear" w:fill="F3F7F9"/>
          </w:tcPr>
          <w:p>
            <w:r/>
            <w:r>
              <w:rPr>
                <w:rFonts w:ascii="Calibri" w:hAnsi="Calibri"/>
                <w:b w:val="0"/>
                <w:i w:val="0"/>
                <w:color w:val="1B2A32"/>
                <w:sz w:val="18"/>
              </w:rPr>
              <w:t>Event / wedding cancellation</w:t>
            </w:r>
          </w:p>
        </w:tc>
        <w:tc>
          <w:tcPr>
            <w:tcW w:type="dxa" w:w="63360"/>
            <w:shd w:val="clear" w:fill="F3F7F9"/>
          </w:tcPr>
          <w:p>
            <w:r/>
            <w:r>
              <w:rPr>
                <w:rFonts w:ascii="Calibri" w:hAnsi="Calibri"/>
                <w:b w:val="0"/>
                <w:i w:val="0"/>
                <w:color w:val="1B2A32"/>
                <w:sz w:val="18"/>
              </w:rPr>
              <w:t>Cause of cancellation; adverse-weather trigger; non-appearance; advance-payment proof</w:t>
            </w:r>
          </w:p>
        </w:tc>
        <w:tc>
          <w:tcPr>
            <w:tcW w:type="dxa" w:w="48960"/>
            <w:shd w:val="clear" w:fill="F3F7F9"/>
          </w:tcPr>
          <w:p>
            <w:r/>
            <w:r>
              <w:rPr>
                <w:rFonts w:ascii="Calibri" w:hAnsi="Calibri"/>
                <w:b w:val="0"/>
                <w:i w:val="0"/>
                <w:color w:val="1B2A32"/>
                <w:sz w:val="18"/>
              </w:rPr>
              <w:t>Vendor contracts; cancellation evidence</w:t>
            </w:r>
          </w:p>
        </w:tc>
      </w:tr>
      <w:tr>
        <w:tc>
          <w:tcPr>
            <w:tcW w:type="dxa" w:w="31680"/>
          </w:tcPr>
          <w:p>
            <w:r/>
            <w:r>
              <w:rPr>
                <w:rFonts w:ascii="Calibri" w:hAnsi="Calibri"/>
                <w:b w:val="0"/>
                <w:i w:val="0"/>
                <w:color w:val="1B2A32"/>
                <w:sz w:val="18"/>
              </w:rPr>
              <w:t>Pet</w:t>
            </w:r>
          </w:p>
        </w:tc>
        <w:tc>
          <w:tcPr>
            <w:tcW w:type="dxa" w:w="63360"/>
          </w:tcPr>
          <w:p>
            <w:r/>
            <w:r>
              <w:rPr>
                <w:rFonts w:ascii="Calibri" w:hAnsi="Calibri"/>
                <w:b w:val="0"/>
                <w:i w:val="0"/>
                <w:color w:val="1B2A32"/>
                <w:sz w:val="18"/>
              </w:rPr>
              <w:t>Breed exclusions; pre-existing conditions; vet-bill reasonableness</w:t>
            </w:r>
          </w:p>
        </w:tc>
        <w:tc>
          <w:tcPr>
            <w:tcW w:type="dxa" w:w="48960"/>
          </w:tcPr>
          <w:p>
            <w:r/>
            <w:r>
              <w:rPr>
                <w:rFonts w:ascii="Calibri" w:hAnsi="Calibri"/>
                <w:b w:val="0"/>
                <w:i w:val="0"/>
                <w:color w:val="1B2A32"/>
                <w:sz w:val="18"/>
              </w:rPr>
              <w:t>Vet records</w:t>
            </w:r>
          </w:p>
        </w:tc>
      </w:tr>
      <w:tr>
        <w:tc>
          <w:tcPr>
            <w:tcW w:type="dxa" w:w="31680"/>
            <w:shd w:val="clear" w:fill="F3F7F9"/>
          </w:tcPr>
          <w:p>
            <w:r/>
            <w:r>
              <w:rPr>
                <w:rFonts w:ascii="Calibri" w:hAnsi="Calibri"/>
                <w:b w:val="0"/>
                <w:i w:val="0"/>
                <w:color w:val="1B2A32"/>
                <w:sz w:val="18"/>
              </w:rPr>
              <w:t>Gadget / mobile</w:t>
            </w:r>
          </w:p>
        </w:tc>
        <w:tc>
          <w:tcPr>
            <w:tcW w:type="dxa" w:w="63360"/>
            <w:shd w:val="clear" w:fill="F3F7F9"/>
          </w:tcPr>
          <w:p>
            <w:r/>
            <w:r>
              <w:rPr>
                <w:rFonts w:ascii="Calibri" w:hAnsi="Calibri"/>
                <w:b w:val="0"/>
                <w:i w:val="0"/>
                <w:color w:val="1B2A32"/>
                <w:sz w:val="18"/>
              </w:rPr>
              <w:t>Liquid damage vs accidental; refurbished-part settlement; depreciation</w:t>
            </w:r>
          </w:p>
        </w:tc>
        <w:tc>
          <w:tcPr>
            <w:tcW w:type="dxa" w:w="48960"/>
            <w:shd w:val="clear" w:fill="F3F7F9"/>
          </w:tcPr>
          <w:p>
            <w:r/>
            <w:r>
              <w:rPr>
                <w:rFonts w:ascii="Calibri" w:hAnsi="Calibri"/>
                <w:b w:val="0"/>
                <w:i w:val="0"/>
                <w:color w:val="1B2A32"/>
                <w:sz w:val="18"/>
              </w:rPr>
              <w:t>Purchase invoice; repair estimate</w:t>
            </w:r>
          </w:p>
        </w:tc>
      </w:tr>
      <w:tr>
        <w:tc>
          <w:tcPr>
            <w:tcW w:type="dxa" w:w="31680"/>
          </w:tcPr>
          <w:p>
            <w:r/>
            <w:r>
              <w:rPr>
                <w:rFonts w:ascii="Calibri" w:hAnsi="Calibri"/>
                <w:b w:val="0"/>
                <w:i w:val="0"/>
                <w:color w:val="1B2A32"/>
                <w:sz w:val="18"/>
              </w:rPr>
              <w:t>Extended warranty</w:t>
            </w:r>
          </w:p>
        </w:tc>
        <w:tc>
          <w:tcPr>
            <w:tcW w:type="dxa" w:w="63360"/>
          </w:tcPr>
          <w:p>
            <w:r/>
            <w:r>
              <w:rPr>
                <w:rFonts w:ascii="Calibri" w:hAnsi="Calibri"/>
                <w:b w:val="0"/>
                <w:i w:val="0"/>
                <w:color w:val="1B2A32"/>
                <w:sz w:val="18"/>
              </w:rPr>
              <w:t>Manufacturing defect vs wear; overlap with the OEM warranty</w:t>
            </w:r>
          </w:p>
        </w:tc>
        <w:tc>
          <w:tcPr>
            <w:tcW w:type="dxa" w:w="48960"/>
          </w:tcPr>
          <w:p>
            <w:r/>
            <w:r>
              <w:rPr>
                <w:rFonts w:ascii="Calibri" w:hAnsi="Calibri"/>
                <w:b w:val="0"/>
                <w:i w:val="0"/>
                <w:color w:val="1B2A32"/>
                <w:sz w:val="18"/>
              </w:rPr>
              <w:t>OEM warranty terms</w:t>
            </w:r>
          </w:p>
        </w:tc>
      </w:tr>
    </w:tbl>
    <w:p>
      <w:pPr>
        <w:spacing w:after="40"/>
      </w:pPr>
    </w:p>
    <w:p>
      <w:pPr>
        <w:keepNext/>
        <w:spacing w:before="200" w:after="60"/>
      </w:pPr>
      <w:r>
        <w:rPr>
          <w:rFonts w:ascii="Calibri" w:hAnsi="Calibri"/>
          <w:b/>
          <w:i w:val="0"/>
          <w:color w:val="1E7A8C"/>
          <w:sz w:val="25"/>
        </w:rPr>
        <w:t>3.16  3.16  Reinsurance</w:t>
      </w:r>
    </w:p>
    <w:p>
      <w:pPr>
        <w:spacing w:after="120"/>
        <w:jc w:val="both"/>
      </w:pPr>
      <w:r>
        <w:rPr>
          <w:rFonts w:ascii="Calibri" w:hAnsi="Calibri"/>
          <w:b w:val="0"/>
          <w:i w:val="0"/>
          <w:color w:val="1B2A32"/>
          <w:sz w:val="21"/>
        </w:rPr>
        <w:t xml:space="preserve">Reinsurance disputes are between insurers (and reinsurers), not policyholders, and they matter to Equator in two ways: </w:t>
      </w:r>
      <w:r>
        <w:rPr>
          <w:rFonts w:ascii="Calibri" w:hAnsi="Calibri"/>
          <w:b/>
          <w:i w:val="0"/>
          <w:color w:val="1B2A32"/>
          <w:sz w:val="21"/>
        </w:rPr>
        <w:t>directly</w:t>
      </w:r>
      <w:r>
        <w:rPr>
          <w:rFonts w:ascii="Calibri" w:hAnsi="Calibri"/>
          <w:b w:val="0"/>
          <w:i w:val="0"/>
          <w:color w:val="1B2A32"/>
          <w:sz w:val="21"/>
        </w:rPr>
        <w:t xml:space="preserve">, as high-value B2B disputes that arbitrate under the treaty wording; and </w:t>
      </w:r>
      <w:r>
        <w:rPr>
          <w:rFonts w:ascii="Calibri" w:hAnsi="Calibri"/>
          <w:b/>
          <w:i w:val="0"/>
          <w:color w:val="1B2A32"/>
          <w:sz w:val="21"/>
        </w:rPr>
        <w:t>indirectly</w:t>
      </w:r>
      <w:r>
        <w:rPr>
          <w:rFonts w:ascii="Calibri" w:hAnsi="Calibri"/>
          <w:b w:val="0"/>
          <w:i w:val="0"/>
          <w:color w:val="1B2A32"/>
          <w:sz w:val="21"/>
        </w:rPr>
        <w:t>, because a reinsurer's position frequently drives an insurer's decision on the underlying claim — which is why the authority question in the settlement forms must be answered before a session.</w:t>
      </w:r>
    </w:p>
    <w:tbl>
      <w:tblPr>
        <w:tblStyle w:val="TableGrid"/>
        <w:tblW w:type="auto" w:w="0"/>
        <w:jc w:val="center"/>
        <w:tblLook w:firstColumn="1" w:firstRow="1" w:lastColumn="0" w:lastRow="0" w:noHBand="0" w:noVBand="1" w:val="04A0"/>
      </w:tblPr>
      <w:tblGrid>
        <w:gridCol w:w="3168"/>
        <w:gridCol w:w="3168"/>
        <w:gridCol w:w="3168"/>
      </w:tblGrid>
      <w:tr>
        <w:tc>
          <w:tcPr>
            <w:tcW w:type="dxa" w:w="43200"/>
            <w:shd w:val="clear" w:fill="123B4F"/>
          </w:tcPr>
          <w:p>
            <w:r/>
            <w:r>
              <w:rPr>
                <w:rFonts w:ascii="Calibri" w:hAnsi="Calibri"/>
                <w:b/>
                <w:i w:val="0"/>
                <w:color w:val="FFFFFF"/>
                <w:sz w:val="18"/>
              </w:rPr>
              <w:t>Dispute</w:t>
            </w:r>
          </w:p>
        </w:tc>
        <w:tc>
          <w:tcPr>
            <w:tcW w:type="dxa" w:w="54720"/>
            <w:shd w:val="clear" w:fill="123B4F"/>
          </w:tcPr>
          <w:p>
            <w:r/>
            <w:r>
              <w:rPr>
                <w:rFonts w:ascii="Calibri" w:hAnsi="Calibri"/>
                <w:b/>
                <w:i w:val="0"/>
                <w:color w:val="FFFFFF"/>
                <w:sz w:val="18"/>
              </w:rPr>
              <w:t>Mechanics</w:t>
            </w:r>
          </w:p>
        </w:tc>
        <w:tc>
          <w:tcPr>
            <w:tcW w:type="dxa" w:w="46080"/>
            <w:shd w:val="clear" w:fill="123B4F"/>
          </w:tcPr>
          <w:p>
            <w:r/>
            <w:r>
              <w:rPr>
                <w:rFonts w:ascii="Calibri" w:hAnsi="Calibri"/>
                <w:b/>
                <w:i w:val="0"/>
                <w:color w:val="FFFFFF"/>
                <w:sz w:val="18"/>
              </w:rPr>
              <w:t>Note</w:t>
            </w:r>
          </w:p>
        </w:tc>
      </w:tr>
      <w:tr>
        <w:tc>
          <w:tcPr>
            <w:tcW w:type="dxa" w:w="43200"/>
          </w:tcPr>
          <w:p>
            <w:r/>
            <w:r>
              <w:rPr>
                <w:rFonts w:ascii="Calibri" w:hAnsi="Calibri"/>
                <w:b w:val="0"/>
                <w:i w:val="0"/>
                <w:color w:val="1B2A32"/>
                <w:sz w:val="18"/>
              </w:rPr>
              <w:t>Follow-the-fortunes / follow-the-settlements</w:t>
            </w:r>
          </w:p>
        </w:tc>
        <w:tc>
          <w:tcPr>
            <w:tcW w:type="dxa" w:w="54720"/>
          </w:tcPr>
          <w:p>
            <w:r/>
            <w:r>
              <w:rPr>
                <w:rFonts w:ascii="Calibri" w:hAnsi="Calibri"/>
                <w:b w:val="0"/>
                <w:i w:val="0"/>
                <w:color w:val="1B2A32"/>
                <w:sz w:val="18"/>
              </w:rPr>
              <w:t>Whether the reinsurer is bound by the cedant's settlement</w:t>
            </w:r>
          </w:p>
        </w:tc>
        <w:tc>
          <w:tcPr>
            <w:tcW w:type="dxa" w:w="46080"/>
          </w:tcPr>
          <w:p>
            <w:r/>
            <w:r>
              <w:rPr>
                <w:rFonts w:ascii="Calibri" w:hAnsi="Calibri"/>
                <w:b w:val="0"/>
                <w:i w:val="0"/>
                <w:color w:val="1B2A32"/>
                <w:sz w:val="18"/>
              </w:rPr>
              <w:t>Central to treaty disputes; wording-specific</w:t>
            </w:r>
          </w:p>
        </w:tc>
      </w:tr>
      <w:tr>
        <w:tc>
          <w:tcPr>
            <w:tcW w:type="dxa" w:w="43200"/>
            <w:shd w:val="clear" w:fill="F3F7F9"/>
          </w:tcPr>
          <w:p>
            <w:r/>
            <w:r>
              <w:rPr>
                <w:rFonts w:ascii="Calibri" w:hAnsi="Calibri"/>
                <w:b w:val="0"/>
                <w:i w:val="0"/>
                <w:color w:val="1B2A32"/>
                <w:sz w:val="18"/>
              </w:rPr>
              <w:t>Aggregation / event definition</w:t>
            </w:r>
          </w:p>
        </w:tc>
        <w:tc>
          <w:tcPr>
            <w:tcW w:type="dxa" w:w="54720"/>
            <w:shd w:val="clear" w:fill="F3F7F9"/>
          </w:tcPr>
          <w:p>
            <w:r/>
            <w:r>
              <w:rPr>
                <w:rFonts w:ascii="Calibri" w:hAnsi="Calibri"/>
                <w:b w:val="0"/>
                <w:i w:val="0"/>
                <w:color w:val="1B2A32"/>
                <w:sz w:val="18"/>
              </w:rPr>
              <w:t>How many 'events' — one retention or many</w:t>
            </w:r>
          </w:p>
        </w:tc>
        <w:tc>
          <w:tcPr>
            <w:tcW w:type="dxa" w:w="46080"/>
            <w:shd w:val="clear" w:fill="F3F7F9"/>
          </w:tcPr>
          <w:p>
            <w:r/>
            <w:r>
              <w:rPr>
                <w:rFonts w:ascii="Calibri" w:hAnsi="Calibri"/>
                <w:b w:val="0"/>
                <w:i w:val="0"/>
                <w:color w:val="1B2A32"/>
                <w:sz w:val="18"/>
              </w:rPr>
              <w:t>Catastrophe and liability treaties</w:t>
            </w:r>
          </w:p>
        </w:tc>
      </w:tr>
      <w:tr>
        <w:tc>
          <w:tcPr>
            <w:tcW w:type="dxa" w:w="43200"/>
          </w:tcPr>
          <w:p>
            <w:r/>
            <w:r>
              <w:rPr>
                <w:rFonts w:ascii="Calibri" w:hAnsi="Calibri"/>
                <w:b w:val="0"/>
                <w:i w:val="0"/>
                <w:color w:val="1B2A32"/>
                <w:sz w:val="18"/>
              </w:rPr>
              <w:t>Late notification / claims control</w:t>
            </w:r>
          </w:p>
        </w:tc>
        <w:tc>
          <w:tcPr>
            <w:tcW w:type="dxa" w:w="54720"/>
          </w:tcPr>
          <w:p>
            <w:r/>
            <w:r>
              <w:rPr>
                <w:rFonts w:ascii="Calibri" w:hAnsi="Calibri"/>
                <w:b w:val="0"/>
                <w:i w:val="0"/>
                <w:color w:val="1B2A32"/>
                <w:sz w:val="18"/>
              </w:rPr>
              <w:t>Cedant's notice and cooperation obligations</w:t>
            </w:r>
          </w:p>
        </w:tc>
        <w:tc>
          <w:tcPr>
            <w:tcW w:type="dxa" w:w="46080"/>
          </w:tcPr>
          <w:p>
            <w:r/>
            <w:r>
              <w:rPr>
                <w:rFonts w:ascii="Calibri" w:hAnsi="Calibri"/>
                <w:b w:val="0"/>
                <w:i w:val="0"/>
                <w:color w:val="1B2A32"/>
                <w:sz w:val="18"/>
              </w:rPr>
              <w:t>Claims-control vs claims-cooperation clauses</w:t>
            </w:r>
          </w:p>
        </w:tc>
      </w:tr>
      <w:tr>
        <w:tc>
          <w:tcPr>
            <w:tcW w:type="dxa" w:w="43200"/>
            <w:shd w:val="clear" w:fill="F3F7F9"/>
          </w:tcPr>
          <w:p>
            <w:r/>
            <w:r>
              <w:rPr>
                <w:rFonts w:ascii="Calibri" w:hAnsi="Calibri"/>
                <w:b w:val="0"/>
                <w:i w:val="0"/>
                <w:color w:val="1B2A32"/>
                <w:sz w:val="18"/>
              </w:rPr>
              <w:t>Facultative placement terms</w:t>
            </w:r>
          </w:p>
        </w:tc>
        <w:tc>
          <w:tcPr>
            <w:tcW w:type="dxa" w:w="54720"/>
            <w:shd w:val="clear" w:fill="F3F7F9"/>
          </w:tcPr>
          <w:p>
            <w:r/>
            <w:r>
              <w:rPr>
                <w:rFonts w:ascii="Calibri" w:hAnsi="Calibri"/>
                <w:b w:val="0"/>
                <w:i w:val="0"/>
                <w:color w:val="1B2A32"/>
                <w:sz w:val="18"/>
              </w:rPr>
              <w:t>Whether the risk as written matches the facultative slip</w:t>
            </w:r>
          </w:p>
        </w:tc>
        <w:tc>
          <w:tcPr>
            <w:tcW w:type="dxa" w:w="46080"/>
            <w:shd w:val="clear" w:fill="F3F7F9"/>
          </w:tcPr>
          <w:p>
            <w:r/>
            <w:r>
              <w:rPr>
                <w:rFonts w:ascii="Calibri" w:hAnsi="Calibri"/>
                <w:b w:val="0"/>
                <w:i w:val="0"/>
                <w:color w:val="1B2A32"/>
                <w:sz w:val="18"/>
              </w:rPr>
              <w:t>Disclosure at placement</w:t>
            </w:r>
          </w:p>
        </w:tc>
      </w:tr>
    </w:tbl>
    <w:p>
      <w:pPr>
        <w:spacing w:after="40"/>
      </w:pPr>
    </w:p>
    <w:tbl>
      <w:tblPr>
        <w:tblW w:type="auto" w:w="0"/>
        <w:jc w:val="center"/>
        <w:tblLook w:firstColumn="1" w:firstRow="1" w:lastColumn="0" w:lastRow="0" w:noHBand="0" w:noVBand="1" w:val="04A0"/>
      </w:tblPr>
      <w:tblGrid>
        <w:gridCol w:w="9504"/>
      </w:tblGrid>
      <w:tr>
        <w:tc>
          <w:tcPr>
            <w:tcW w:type="dxa" w:w="9360"/>
            <w:shd w:val="clear" w:fill="F5ECD6"/>
            <w:tcBorders>
              <w:start w:val="single" w:sz="22" w:space="0" w:color="C6A15B"/>
            </w:tcBorders>
          </w:tcPr>
          <w:p>
            <w:r>
              <w:rPr>
                <w:rFonts w:ascii="Calibri" w:hAnsi="Calibri"/>
                <w:b/>
                <w:i w:val="0"/>
                <w:color w:val="123B4F"/>
                <w:sz w:val="18"/>
              </w:rPr>
              <w:t>WHY THIS BELONGS IN THE VERTICAL</w:t>
            </w:r>
          </w:p>
          <w:p>
            <w:r>
              <w:rPr>
                <w:rFonts w:ascii="Calibri" w:hAnsi="Calibri"/>
                <w:b w:val="0"/>
                <w:i w:val="0"/>
                <w:color w:val="1B2A32"/>
                <w:sz w:val="19"/>
              </w:rPr>
              <w:t xml:space="preserve">A commercial claim that the lead insurer supports but the reinsurer has not approved will not hold. Equator's practical rule: flush out the co-insurer shares and any reinsurer-driven position </w:t>
            </w:r>
            <w:r>
              <w:rPr>
                <w:rFonts w:ascii="Calibri" w:hAnsi="Calibri"/>
                <w:b/>
                <w:i w:val="0"/>
                <w:color w:val="1B2A32"/>
                <w:sz w:val="19"/>
              </w:rPr>
              <w:t>before</w:t>
            </w:r>
            <w:r>
              <w:rPr>
                <w:rFonts w:ascii="Calibri" w:hAnsi="Calibri"/>
                <w:b w:val="0"/>
                <w:i w:val="0"/>
                <w:color w:val="1B2A32"/>
                <w:sz w:val="19"/>
              </w:rPr>
              <w:t xml:space="preserve"> the session, using the authority section of Form F-I14, and — where value justifies it — offer to mediate the insurer–reinsurer dispute in parallel so the underlying policyholder is not held hostage to it.</w:t>
            </w:r>
          </w:p>
        </w:tc>
      </w:tr>
    </w:tbl>
    <w:p>
      <w:pPr>
        <w:spacing w:after="40"/>
      </w:pPr>
    </w:p>
    <w:p>
      <w:r>
        <w:br w:type="page"/>
      </w:r>
    </w:p>
    <w:p>
      <w:pPr>
        <w:keepNext/>
        <w:spacing w:before="280" w:after="120"/>
        <w:pBdr>
          <w:bottom w:val="single" w:sz="12" w:space="3" w:color="C6A15B"/>
        </w:pBdr>
      </w:pPr>
      <w:r>
        <w:rPr>
          <w:rFonts w:ascii="Calibri" w:hAnsi="Calibri"/>
          <w:b/>
          <w:i w:val="0"/>
          <w:color w:val="123B4F"/>
          <w:sz w:val="32"/>
        </w:rPr>
        <w:t>4.  Part 4 — The cross-cutting doctrines</w:t>
      </w:r>
    </w:p>
    <w:p>
      <w:pPr>
        <w:spacing w:after="120"/>
        <w:jc w:val="both"/>
      </w:pPr>
      <w:r>
        <w:rPr>
          <w:rFonts w:ascii="Calibri" w:hAnsi="Calibri"/>
          <w:b w:val="0"/>
          <w:i w:val="0"/>
          <w:color w:val="1B2A32"/>
          <w:sz w:val="21"/>
        </w:rPr>
        <w:t>These principles decide claims across every line. A neutral who can apply them turns an assertion into a question, which is the mechanism by which this vertical produces settlements.</w:t>
      </w:r>
    </w:p>
    <w:p>
      <w:pPr>
        <w:keepNext/>
        <w:spacing w:before="200" w:after="60"/>
      </w:pPr>
      <w:r>
        <w:rPr>
          <w:rFonts w:ascii="Calibri" w:hAnsi="Calibri"/>
          <w:b/>
          <w:i w:val="0"/>
          <w:color w:val="1E7A8C"/>
          <w:sz w:val="25"/>
        </w:rPr>
        <w:t>4.1  4.1  Uberrima fides, materiality and non-disclosure</w:t>
      </w:r>
    </w:p>
    <w:p>
      <w:pPr>
        <w:spacing w:after="120"/>
        <w:jc w:val="both"/>
      </w:pPr>
      <w:r>
        <w:rPr>
          <w:rFonts w:ascii="Calibri" w:hAnsi="Calibri"/>
          <w:b w:val="0"/>
          <w:i w:val="0"/>
          <w:color w:val="1B2A32"/>
          <w:sz w:val="21"/>
        </w:rPr>
        <w:t xml:space="preserve">A contract of insurance is one of utmost good faith, binding </w:t>
      </w:r>
      <w:r>
        <w:rPr>
          <w:rFonts w:ascii="Calibri" w:hAnsi="Calibri"/>
          <w:b/>
          <w:i w:val="0"/>
          <w:color w:val="1B2A32"/>
          <w:sz w:val="21"/>
        </w:rPr>
        <w:t>both</w:t>
      </w:r>
      <w:r>
        <w:rPr>
          <w:rFonts w:ascii="Calibri" w:hAnsi="Calibri"/>
          <w:b w:val="0"/>
          <w:i w:val="0"/>
          <w:color w:val="1B2A32"/>
          <w:sz w:val="21"/>
        </w:rPr>
        <w:t xml:space="preserve"> parties. A non-disclosure defeats a claim only if the undisclosed fact was </w:t>
      </w:r>
      <w:r>
        <w:rPr>
          <w:rFonts w:ascii="Calibri" w:hAnsi="Calibri"/>
          <w:b/>
          <w:i w:val="0"/>
          <w:color w:val="1B2A32"/>
          <w:sz w:val="21"/>
        </w:rPr>
        <w:t>material</w:t>
      </w:r>
      <w:r>
        <w:rPr>
          <w:rFonts w:ascii="Calibri" w:hAnsi="Calibri"/>
          <w:b w:val="0"/>
          <w:i w:val="0"/>
          <w:color w:val="1B2A32"/>
          <w:sz w:val="21"/>
        </w:rPr>
        <w:t xml:space="preserve"> — judged by whether it would influence a prudent insurer in taking the risk or fixing the premium — and, for life, only within the section 45 window and by the section's procedure.</w:t>
      </w:r>
    </w:p>
    <w:tbl>
      <w:tblPr>
        <w:tblStyle w:val="TableGrid"/>
        <w:tblW w:type="auto" w:w="0"/>
        <w:jc w:val="center"/>
        <w:tblLook w:firstColumn="1" w:firstRow="1" w:lastColumn="0" w:lastRow="0" w:noHBand="0" w:noVBand="1" w:val="04A0"/>
      </w:tblPr>
      <w:tblGrid>
        <w:gridCol w:w="3168"/>
        <w:gridCol w:w="3168"/>
        <w:gridCol w:w="3168"/>
      </w:tblGrid>
      <w:tr>
        <w:tc>
          <w:tcPr>
            <w:tcW w:type="dxa" w:w="37440"/>
            <w:shd w:val="clear" w:fill="123B4F"/>
          </w:tcPr>
          <w:p>
            <w:r/>
            <w:r>
              <w:rPr>
                <w:rFonts w:ascii="Calibri" w:hAnsi="Calibri"/>
                <w:b/>
                <w:i w:val="0"/>
                <w:color w:val="FFFFFF"/>
                <w:sz w:val="18"/>
              </w:rPr>
              <w:t>Point</w:t>
            </w:r>
          </w:p>
        </w:tc>
        <w:tc>
          <w:tcPr>
            <w:tcW w:type="dxa" w:w="57600"/>
            <w:shd w:val="clear" w:fill="123B4F"/>
          </w:tcPr>
          <w:p>
            <w:r/>
            <w:r>
              <w:rPr>
                <w:rFonts w:ascii="Calibri" w:hAnsi="Calibri"/>
                <w:b/>
                <w:i w:val="0"/>
                <w:color w:val="FFFFFF"/>
                <w:sz w:val="18"/>
              </w:rPr>
              <w:t>The principle</w:t>
            </w:r>
          </w:p>
        </w:tc>
        <w:tc>
          <w:tcPr>
            <w:tcW w:type="dxa" w:w="48960"/>
            <w:shd w:val="clear" w:fill="123B4F"/>
          </w:tcPr>
          <w:p>
            <w:r/>
            <w:r>
              <w:rPr>
                <w:rFonts w:ascii="Calibri" w:hAnsi="Calibri"/>
                <w:b/>
                <w:i w:val="0"/>
                <w:color w:val="FFFFFF"/>
                <w:sz w:val="18"/>
              </w:rPr>
              <w:t>Authority</w:t>
            </w:r>
          </w:p>
        </w:tc>
      </w:tr>
      <w:tr>
        <w:tc>
          <w:tcPr>
            <w:tcW w:type="dxa" w:w="37440"/>
          </w:tcPr>
          <w:p>
            <w:r/>
            <w:r>
              <w:rPr>
                <w:rFonts w:ascii="Calibri" w:hAnsi="Calibri"/>
                <w:b w:val="0"/>
                <w:i w:val="0"/>
                <w:color w:val="1B2A32"/>
                <w:sz w:val="18"/>
              </w:rPr>
              <w:t>The materiality test</w:t>
            </w:r>
          </w:p>
        </w:tc>
        <w:tc>
          <w:tcPr>
            <w:tcW w:type="dxa" w:w="57600"/>
          </w:tcPr>
          <w:p>
            <w:r/>
            <w:r>
              <w:rPr>
                <w:rFonts w:ascii="Calibri" w:hAnsi="Calibri"/>
                <w:b w:val="0"/>
                <w:i w:val="0"/>
                <w:color w:val="1B2A32"/>
                <w:sz w:val="18"/>
              </w:rPr>
              <w:t>Would a prudent insurer have been influenced in accepting the risk or fixing the premium?</w:t>
            </w:r>
          </w:p>
        </w:tc>
        <w:tc>
          <w:tcPr>
            <w:tcW w:type="dxa" w:w="48960"/>
          </w:tcPr>
          <w:p>
            <w:r/>
            <w:r>
              <w:rPr>
                <w:rFonts w:ascii="Calibri" w:hAnsi="Calibri"/>
                <w:b w:val="0"/>
                <w:i w:val="0"/>
                <w:color w:val="1B2A32"/>
                <w:sz w:val="18"/>
              </w:rPr>
              <w:t>*Mithoolal Nayak v. LIC*, AIR 1962 SC 814 [verify]</w:t>
            </w:r>
          </w:p>
        </w:tc>
      </w:tr>
      <w:tr>
        <w:tc>
          <w:tcPr>
            <w:tcW w:type="dxa" w:w="37440"/>
            <w:shd w:val="clear" w:fill="F3F7F9"/>
          </w:tcPr>
          <w:p>
            <w:r/>
            <w:r>
              <w:rPr>
                <w:rFonts w:ascii="Calibri" w:hAnsi="Calibri"/>
                <w:b w:val="0"/>
                <w:i w:val="0"/>
                <w:color w:val="1B2A32"/>
                <w:sz w:val="18"/>
              </w:rPr>
              <w:t>Burden of proof</w:t>
            </w:r>
          </w:p>
        </w:tc>
        <w:tc>
          <w:tcPr>
            <w:tcW w:type="dxa" w:w="57600"/>
            <w:shd w:val="clear" w:fill="F3F7F9"/>
          </w:tcPr>
          <w:p>
            <w:r/>
            <w:r>
              <w:rPr>
                <w:rFonts w:ascii="Calibri" w:hAnsi="Calibri"/>
                <w:b w:val="0"/>
                <w:i w:val="0"/>
                <w:color w:val="1B2A32"/>
                <w:sz w:val="18"/>
              </w:rPr>
              <w:t>The insurer must prove the suppression and its materiality; bare assertion will not do</w:t>
            </w:r>
          </w:p>
        </w:tc>
        <w:tc>
          <w:tcPr>
            <w:tcW w:type="dxa" w:w="48960"/>
            <w:shd w:val="clear" w:fill="F3F7F9"/>
          </w:tcPr>
          <w:p>
            <w:r/>
            <w:r>
              <w:rPr>
                <w:rFonts w:ascii="Calibri" w:hAnsi="Calibri"/>
                <w:b w:val="0"/>
                <w:i w:val="0"/>
                <w:color w:val="1B2A32"/>
                <w:sz w:val="18"/>
              </w:rPr>
              <w:t>*Reliance Life Insurance v. Rekhaben Nareshbhai Rathod*, (2019) 6 SCC 175 [verify]</w:t>
            </w:r>
          </w:p>
        </w:tc>
      </w:tr>
      <w:tr>
        <w:tc>
          <w:tcPr>
            <w:tcW w:type="dxa" w:w="37440"/>
          </w:tcPr>
          <w:p>
            <w:r/>
            <w:r>
              <w:rPr>
                <w:rFonts w:ascii="Calibri" w:hAnsi="Calibri"/>
                <w:b w:val="0"/>
                <w:i w:val="0"/>
                <w:color w:val="1B2A32"/>
                <w:sz w:val="18"/>
              </w:rPr>
              <w:t>Not every non-disclosure is material</w:t>
            </w:r>
          </w:p>
        </w:tc>
        <w:tc>
          <w:tcPr>
            <w:tcW w:type="dxa" w:w="57600"/>
          </w:tcPr>
          <w:p>
            <w:r/>
            <w:r>
              <w:rPr>
                <w:rFonts w:ascii="Calibri" w:hAnsi="Calibri"/>
                <w:b w:val="0"/>
                <w:i w:val="0"/>
                <w:color w:val="1B2A32"/>
                <w:sz w:val="18"/>
              </w:rPr>
              <w:t>Non-disclosure of collateral or immaterial facts (e.g. certain other policies) may not be a material suppression</w:t>
            </w:r>
          </w:p>
        </w:tc>
        <w:tc>
          <w:tcPr>
            <w:tcW w:type="dxa" w:w="48960"/>
          </w:tcPr>
          <w:p>
            <w:r/>
            <w:r>
              <w:rPr>
                <w:rFonts w:ascii="Calibri" w:hAnsi="Calibri"/>
                <w:b w:val="0"/>
                <w:i w:val="0"/>
                <w:color w:val="1B2A32"/>
                <w:sz w:val="18"/>
              </w:rPr>
              <w:t>Recent Supreme Court authority setting aside repudiation for non-disclosure of additional policies [verify — citation]</w:t>
            </w:r>
          </w:p>
        </w:tc>
      </w:tr>
      <w:tr>
        <w:tc>
          <w:tcPr>
            <w:tcW w:type="dxa" w:w="37440"/>
            <w:shd w:val="clear" w:fill="F3F7F9"/>
          </w:tcPr>
          <w:p>
            <w:r/>
            <w:r>
              <w:rPr>
                <w:rFonts w:ascii="Calibri" w:hAnsi="Calibri"/>
                <w:b w:val="0"/>
                <w:i w:val="0"/>
                <w:color w:val="1B2A32"/>
                <w:sz w:val="18"/>
              </w:rPr>
              <w:t>Proposal filled by the agent</w:t>
            </w:r>
          </w:p>
        </w:tc>
        <w:tc>
          <w:tcPr>
            <w:tcW w:type="dxa" w:w="57600"/>
            <w:shd w:val="clear" w:fill="F3F7F9"/>
          </w:tcPr>
          <w:p>
            <w:r/>
            <w:r>
              <w:rPr>
                <w:rFonts w:ascii="Calibri" w:hAnsi="Calibri"/>
                <w:b w:val="0"/>
                <w:i w:val="0"/>
                <w:color w:val="1B2A32"/>
                <w:sz w:val="18"/>
              </w:rPr>
              <w:t>Where the agent completed the form, the insurer's position on non-disclosure weakens</w:t>
            </w:r>
          </w:p>
        </w:tc>
        <w:tc>
          <w:tcPr>
            <w:tcW w:type="dxa" w:w="48960"/>
            <w:shd w:val="clear" w:fill="F3F7F9"/>
          </w:tcPr>
          <w:p>
            <w:r/>
            <w:r>
              <w:rPr>
                <w:rFonts w:ascii="Calibri" w:hAnsi="Calibri"/>
                <w:b w:val="0"/>
                <w:i w:val="0"/>
                <w:color w:val="1B2A32"/>
                <w:sz w:val="18"/>
              </w:rPr>
              <w:t>General principle; fact-specific</w:t>
            </w:r>
          </w:p>
        </w:tc>
      </w:tr>
    </w:tbl>
    <w:p>
      <w:pPr>
        <w:spacing w:after="40"/>
      </w:pPr>
    </w:p>
    <w:p>
      <w:pPr>
        <w:keepNext/>
        <w:spacing w:before="200" w:after="60"/>
      </w:pPr>
      <w:r>
        <w:rPr>
          <w:rFonts w:ascii="Calibri" w:hAnsi="Calibri"/>
          <w:b/>
          <w:i w:val="0"/>
          <w:color w:val="1E7A8C"/>
          <w:sz w:val="25"/>
        </w:rPr>
        <w:t>4.2  4.2  Contra proferentem</w:t>
      </w:r>
    </w:p>
    <w:p>
      <w:pPr>
        <w:spacing w:after="120"/>
        <w:jc w:val="both"/>
      </w:pPr>
      <w:r>
        <w:rPr>
          <w:rFonts w:ascii="Calibri" w:hAnsi="Calibri"/>
          <w:b w:val="0"/>
          <w:i w:val="0"/>
          <w:color w:val="1B2A32"/>
          <w:sz w:val="21"/>
        </w:rPr>
        <w:t xml:space="preserve">An ambiguity in a document drafted by the insurer is construed </w:t>
      </w:r>
      <w:r>
        <w:rPr>
          <w:rFonts w:ascii="Calibri" w:hAnsi="Calibri"/>
          <w:b/>
          <w:i w:val="0"/>
          <w:color w:val="1B2A32"/>
          <w:sz w:val="21"/>
        </w:rPr>
        <w:t>against</w:t>
      </w:r>
      <w:r>
        <w:rPr>
          <w:rFonts w:ascii="Calibri" w:hAnsi="Calibri"/>
          <w:b w:val="0"/>
          <w:i w:val="0"/>
          <w:color w:val="1B2A32"/>
          <w:sz w:val="21"/>
        </w:rPr>
        <w:t xml:space="preserve"> the insurer. It is the single most useful construction rule for a policyholder and it operates on exclusions, sub-limits and definitions (of 'hospital', 'accident', 'pre-existing', 'forcible entry', 'computer fraud').</w:t>
      </w:r>
    </w:p>
    <w:tbl>
      <w:tblPr>
        <w:tblStyle w:val="TableGrid"/>
        <w:tblW w:type="auto" w:w="0"/>
        <w:jc w:val="center"/>
        <w:tblLook w:firstColumn="1" w:firstRow="1" w:lastColumn="0" w:lastRow="0" w:noHBand="0" w:noVBand="1" w:val="04A0"/>
      </w:tblPr>
      <w:tblGrid>
        <w:gridCol w:w="4752"/>
        <w:gridCol w:w="4752"/>
      </w:tblGrid>
      <w:tr>
        <w:tc>
          <w:tcPr>
            <w:tcW w:type="dxa" w:w="80640"/>
            <w:shd w:val="clear" w:fill="123B4F"/>
          </w:tcPr>
          <w:p>
            <w:r/>
            <w:r>
              <w:rPr>
                <w:rFonts w:ascii="Calibri" w:hAnsi="Calibri"/>
                <w:b/>
                <w:i w:val="0"/>
                <w:color w:val="FFFFFF"/>
                <w:sz w:val="18"/>
              </w:rPr>
              <w:t>Point</w:t>
            </w:r>
          </w:p>
        </w:tc>
        <w:tc>
          <w:tcPr>
            <w:tcW w:type="dxa" w:w="63360"/>
            <w:shd w:val="clear" w:fill="123B4F"/>
          </w:tcPr>
          <w:p>
            <w:r/>
            <w:r>
              <w:rPr>
                <w:rFonts w:ascii="Calibri" w:hAnsi="Calibri"/>
                <w:b/>
                <w:i w:val="0"/>
                <w:color w:val="FFFFFF"/>
                <w:sz w:val="18"/>
              </w:rPr>
              <w:t>Authority</w:t>
            </w:r>
          </w:p>
        </w:tc>
      </w:tr>
      <w:tr>
        <w:tc>
          <w:tcPr>
            <w:tcW w:type="dxa" w:w="80640"/>
          </w:tcPr>
          <w:p>
            <w:r/>
            <w:r>
              <w:rPr>
                <w:rFonts w:ascii="Calibri" w:hAnsi="Calibri"/>
                <w:b w:val="0"/>
                <w:i w:val="0"/>
                <w:color w:val="1B2A32"/>
                <w:sz w:val="18"/>
              </w:rPr>
              <w:t>Ambiguity construed against the insurer who drafted the wording</w:t>
            </w:r>
          </w:p>
        </w:tc>
        <w:tc>
          <w:tcPr>
            <w:tcW w:type="dxa" w:w="63360"/>
          </w:tcPr>
          <w:p>
            <w:r/>
            <w:r>
              <w:rPr>
                <w:rFonts w:ascii="Calibri" w:hAnsi="Calibri"/>
                <w:b w:val="0"/>
                <w:i w:val="0"/>
                <w:color w:val="1B2A32"/>
                <w:sz w:val="18"/>
              </w:rPr>
              <w:t>*United India Insurance v. Orient Treasures (P) Ltd.*, (2016) 3 SCC 49 [verify]</w:t>
            </w:r>
          </w:p>
        </w:tc>
      </w:tr>
      <w:tr>
        <w:tc>
          <w:tcPr>
            <w:tcW w:type="dxa" w:w="80640"/>
            <w:shd w:val="clear" w:fill="F3F7F9"/>
          </w:tcPr>
          <w:p>
            <w:r/>
            <w:r>
              <w:rPr>
                <w:rFonts w:ascii="Calibri" w:hAnsi="Calibri"/>
                <w:b w:val="0"/>
                <w:i w:val="0"/>
                <w:color w:val="1B2A32"/>
                <w:sz w:val="18"/>
              </w:rPr>
              <w:t>Ambiguous disclosure requirements cannot be used to negate cover</w:t>
            </w:r>
          </w:p>
        </w:tc>
        <w:tc>
          <w:tcPr>
            <w:tcW w:type="dxa" w:w="63360"/>
            <w:shd w:val="clear" w:fill="F3F7F9"/>
          </w:tcPr>
          <w:p>
            <w:r/>
            <w:r>
              <w:rPr>
                <w:rFonts w:ascii="Calibri" w:hAnsi="Calibri"/>
                <w:b w:val="0"/>
                <w:i w:val="0"/>
                <w:color w:val="1B2A32"/>
                <w:sz w:val="18"/>
              </w:rPr>
              <w:t>*Reliance Life Insurance v. Rekhaben Nareshbhai Rathod*, (2019) 6 SCC 175 [verify]</w:t>
            </w:r>
          </w:p>
        </w:tc>
      </w:tr>
    </w:tbl>
    <w:p>
      <w:pPr>
        <w:spacing w:after="40"/>
      </w:pPr>
    </w:p>
    <w:p>
      <w:pPr>
        <w:keepNext/>
        <w:spacing w:before="200" w:after="60"/>
      </w:pPr>
      <w:r>
        <w:rPr>
          <w:rFonts w:ascii="Calibri" w:hAnsi="Calibri"/>
          <w:b/>
          <w:i w:val="0"/>
          <w:color w:val="1E7A8C"/>
          <w:sz w:val="25"/>
        </w:rPr>
        <w:t>4.3  4.3  Proximate cause</w:t>
      </w:r>
    </w:p>
    <w:p>
      <w:pPr>
        <w:spacing w:after="120"/>
        <w:jc w:val="both"/>
      </w:pPr>
      <w:r>
        <w:rPr>
          <w:rFonts w:ascii="Calibri" w:hAnsi="Calibri"/>
          <w:b w:val="0"/>
          <w:i w:val="0"/>
          <w:color w:val="1B2A32"/>
          <w:sz w:val="21"/>
        </w:rPr>
        <w:t>*Causa proxima non remota spectatur* — the dominant, effective cause is considered, not a remote one. A loss with an excluded event somewhere in the chain is not automatically defeated; what matters is what dominated. Foundationally *Leyland Shipping v. Norwich Union* [1918] AC 350; applied across Indian marine, fire and motor claims (e.g. *Oriental Insurance v. Hasmukhbhai T. Patel* [verify]).</w:t>
      </w:r>
    </w:p>
    <w:p>
      <w:pPr>
        <w:keepNext/>
        <w:spacing w:before="200" w:after="60"/>
      </w:pPr>
      <w:r>
        <w:rPr>
          <w:rFonts w:ascii="Calibri" w:hAnsi="Calibri"/>
          <w:b/>
          <w:i w:val="0"/>
          <w:color w:val="1E7A8C"/>
          <w:sz w:val="25"/>
        </w:rPr>
        <w:t>4.4  4.4  Condition/warranty breach and the nexus test</w:t>
      </w:r>
    </w:p>
    <w:p>
      <w:pPr>
        <w:spacing w:after="120"/>
        <w:jc w:val="both"/>
      </w:pPr>
      <w:r>
        <w:rPr>
          <w:rFonts w:ascii="Calibri" w:hAnsi="Calibri"/>
          <w:b w:val="0"/>
          <w:i w:val="0"/>
          <w:color w:val="1B2A32"/>
          <w:sz w:val="21"/>
        </w:rPr>
        <w:t xml:space="preserve">A breach of a policy condition does not automatically defeat a claim: the question is whether the breach was </w:t>
      </w:r>
      <w:r>
        <w:rPr>
          <w:rFonts w:ascii="Calibri" w:hAnsi="Calibri"/>
          <w:b/>
          <w:i w:val="0"/>
          <w:color w:val="1B2A32"/>
          <w:sz w:val="21"/>
        </w:rPr>
        <w:t>fundamental</w:t>
      </w:r>
      <w:r>
        <w:rPr>
          <w:rFonts w:ascii="Calibri" w:hAnsi="Calibri"/>
          <w:b w:val="0"/>
          <w:i w:val="0"/>
          <w:color w:val="1B2A32"/>
          <w:sz w:val="21"/>
        </w:rPr>
        <w:t xml:space="preserve"> and had a </w:t>
      </w:r>
      <w:r>
        <w:rPr>
          <w:rFonts w:ascii="Calibri" w:hAnsi="Calibri"/>
          <w:b/>
          <w:i w:val="0"/>
          <w:color w:val="1B2A32"/>
          <w:sz w:val="21"/>
        </w:rPr>
        <w:t>nexus with the loss</w:t>
      </w:r>
      <w:r>
        <w:rPr>
          <w:rFonts w:ascii="Calibri" w:hAnsi="Calibri"/>
          <w:b w:val="0"/>
          <w:i w:val="0"/>
          <w:color w:val="1B2A32"/>
          <w:sz w:val="21"/>
        </w:rPr>
        <w:t xml:space="preserve">. Where the breach is technical, the established outcome is a </w:t>
      </w:r>
      <w:r>
        <w:rPr>
          <w:rFonts w:ascii="Calibri" w:hAnsi="Calibri"/>
          <w:b/>
          <w:i w:val="0"/>
          <w:color w:val="1B2A32"/>
          <w:sz w:val="21"/>
        </w:rPr>
        <w:t>non-standard settlement</w:t>
      </w:r>
      <w:r>
        <w:rPr>
          <w:rFonts w:ascii="Calibri" w:hAnsi="Calibri"/>
          <w:b w:val="0"/>
          <w:i w:val="0"/>
          <w:color w:val="1B2A32"/>
          <w:sz w:val="21"/>
        </w:rPr>
        <w:t xml:space="preserve"> — a percentage of the assessed loss.</w:t>
      </w:r>
    </w:p>
    <w:tbl>
      <w:tblPr>
        <w:tblStyle w:val="TableGrid"/>
        <w:tblW w:type="auto" w:w="0"/>
        <w:jc w:val="center"/>
        <w:tblLook w:firstColumn="1" w:firstRow="1" w:lastColumn="0" w:lastRow="0" w:noHBand="0" w:noVBand="1" w:val="04A0"/>
      </w:tblPr>
      <w:tblGrid>
        <w:gridCol w:w="4752"/>
        <w:gridCol w:w="4752"/>
      </w:tblGrid>
      <w:tr>
        <w:tc>
          <w:tcPr>
            <w:tcW w:type="dxa" w:w="80640"/>
            <w:shd w:val="clear" w:fill="123B4F"/>
          </w:tcPr>
          <w:p>
            <w:r/>
            <w:r>
              <w:rPr>
                <w:rFonts w:ascii="Calibri" w:hAnsi="Calibri"/>
                <w:b/>
                <w:i w:val="0"/>
                <w:color w:val="FFFFFF"/>
                <w:sz w:val="18"/>
              </w:rPr>
              <w:t>Point</w:t>
            </w:r>
          </w:p>
        </w:tc>
        <w:tc>
          <w:tcPr>
            <w:tcW w:type="dxa" w:w="63360"/>
            <w:shd w:val="clear" w:fill="123B4F"/>
          </w:tcPr>
          <w:p>
            <w:r/>
            <w:r>
              <w:rPr>
                <w:rFonts w:ascii="Calibri" w:hAnsi="Calibri"/>
                <w:b/>
                <w:i w:val="0"/>
                <w:color w:val="FFFFFF"/>
                <w:sz w:val="18"/>
              </w:rPr>
              <w:t>Authority</w:t>
            </w:r>
          </w:p>
        </w:tc>
      </w:tr>
      <w:tr>
        <w:tc>
          <w:tcPr>
            <w:tcW w:type="dxa" w:w="80640"/>
          </w:tcPr>
          <w:p>
            <w:r/>
            <w:r>
              <w:rPr>
                <w:rFonts w:ascii="Calibri" w:hAnsi="Calibri"/>
                <w:b w:val="0"/>
                <w:i w:val="0"/>
                <w:color w:val="1B2A32"/>
                <w:sz w:val="18"/>
              </w:rPr>
              <w:t>Breach with no nexus to the loss does not defeat the claim; non-standard settlement applies</w:t>
            </w:r>
          </w:p>
        </w:tc>
        <w:tc>
          <w:tcPr>
            <w:tcW w:type="dxa" w:w="63360"/>
          </w:tcPr>
          <w:p>
            <w:r/>
            <w:r>
              <w:rPr>
                <w:rFonts w:ascii="Calibri" w:hAnsi="Calibri"/>
                <w:b w:val="0"/>
                <w:i w:val="0"/>
                <w:color w:val="1B2A32"/>
                <w:sz w:val="18"/>
              </w:rPr>
              <w:t>*Amalendu Sahoo v. Oriental Insurance*, (2010) 4 SCC 536 [verify]</w:t>
            </w:r>
          </w:p>
        </w:tc>
      </w:tr>
      <w:tr>
        <w:tc>
          <w:tcPr>
            <w:tcW w:type="dxa" w:w="80640"/>
            <w:shd w:val="clear" w:fill="F3F7F9"/>
          </w:tcPr>
          <w:p>
            <w:r/>
            <w:r>
              <w:rPr>
                <w:rFonts w:ascii="Calibri" w:hAnsi="Calibri"/>
                <w:b w:val="0"/>
                <w:i w:val="0"/>
                <w:color w:val="1B2A32"/>
                <w:sz w:val="18"/>
              </w:rPr>
              <w:t>In theft, use/condition breach usually has no nexus; insurer must indemnify (non-standard basis)</w:t>
            </w:r>
          </w:p>
        </w:tc>
        <w:tc>
          <w:tcPr>
            <w:tcW w:type="dxa" w:w="63360"/>
            <w:shd w:val="clear" w:fill="F3F7F9"/>
          </w:tcPr>
          <w:p>
            <w:r/>
            <w:r>
              <w:rPr>
                <w:rFonts w:ascii="Calibri" w:hAnsi="Calibri"/>
                <w:b w:val="0"/>
                <w:i w:val="0"/>
                <w:color w:val="1B2A32"/>
                <w:sz w:val="18"/>
              </w:rPr>
              <w:t>*National Insurance v. Nitin Khandelwal*, (2008) 11 SCC 259 [verify]</w:t>
            </w:r>
          </w:p>
        </w:tc>
      </w:tr>
      <w:tr>
        <w:tc>
          <w:tcPr>
            <w:tcW w:type="dxa" w:w="80640"/>
          </w:tcPr>
          <w:p>
            <w:r/>
            <w:r>
              <w:rPr>
                <w:rFonts w:ascii="Calibri" w:hAnsi="Calibri"/>
                <w:b w:val="0"/>
                <w:i w:val="0"/>
                <w:color w:val="1B2A32"/>
                <w:sz w:val="18"/>
              </w:rPr>
              <w:t>75% non-standard settlement upheld on a contested theft claim</w:t>
            </w:r>
          </w:p>
        </w:tc>
        <w:tc>
          <w:tcPr>
            <w:tcW w:type="dxa" w:w="63360"/>
          </w:tcPr>
          <w:p>
            <w:r/>
            <w:r>
              <w:rPr>
                <w:rFonts w:ascii="Calibri" w:hAnsi="Calibri"/>
                <w:b w:val="0"/>
                <w:i w:val="0"/>
                <w:color w:val="1B2A32"/>
                <w:sz w:val="18"/>
              </w:rPr>
              <w:t>*Ashok Kumar v. New India Assurance*, 2023 INSC 659 [verify]</w:t>
            </w:r>
          </w:p>
        </w:tc>
      </w:tr>
    </w:tbl>
    <w:p>
      <w:pPr>
        <w:spacing w:after="40"/>
      </w:pPr>
    </w:p>
    <w:p>
      <w:pPr>
        <w:keepNext/>
        <w:spacing w:before="200" w:after="60"/>
      </w:pPr>
      <w:r>
        <w:rPr>
          <w:rFonts w:ascii="Calibri" w:hAnsi="Calibri"/>
          <w:b/>
          <w:i w:val="0"/>
          <w:color w:val="1E7A8C"/>
          <w:sz w:val="25"/>
        </w:rPr>
        <w:t>4.5  4.5  Delay and interest — the IRDAI turnaround regime</w:t>
      </w:r>
    </w:p>
    <w:p>
      <w:pPr>
        <w:spacing w:after="120"/>
        <w:jc w:val="both"/>
      </w:pPr>
      <w:r>
        <w:rPr>
          <w:rFonts w:ascii="Calibri" w:hAnsi="Calibri"/>
          <w:b w:val="0"/>
          <w:i w:val="0"/>
          <w:color w:val="1B2A32"/>
          <w:sz w:val="21"/>
        </w:rPr>
        <w:t>Delay is a dispute in its own right, and since 2024 it is backed by hard service standards. Under the IRDAI (Protection of Policyholders' Interests, Operations and Allied Matters of Insurers) Regulations, 2024 (in force 1 April 2024) and the September 2024 Master Circulars:</w:t>
      </w:r>
    </w:p>
    <w:tbl>
      <w:tblPr>
        <w:tblStyle w:val="TableGrid"/>
        <w:tblW w:type="auto" w:w="0"/>
        <w:jc w:val="center"/>
        <w:tblLook w:firstColumn="1" w:firstRow="1" w:lastColumn="0" w:lastRow="0" w:noHBand="0" w:noVBand="1" w:val="04A0"/>
      </w:tblPr>
      <w:tblGrid>
        <w:gridCol w:w="3168"/>
        <w:gridCol w:w="3168"/>
        <w:gridCol w:w="3168"/>
      </w:tblGrid>
      <w:tr>
        <w:tc>
          <w:tcPr>
            <w:tcW w:type="dxa" w:w="48960"/>
            <w:shd w:val="clear" w:fill="123B4F"/>
          </w:tcPr>
          <w:p>
            <w:r/>
            <w:r>
              <w:rPr>
                <w:rFonts w:ascii="Calibri" w:hAnsi="Calibri"/>
                <w:b/>
                <w:i w:val="0"/>
                <w:color w:val="FFFFFF"/>
                <w:sz w:val="18"/>
              </w:rPr>
              <w:t>Service</w:t>
            </w:r>
          </w:p>
        </w:tc>
        <w:tc>
          <w:tcPr>
            <w:tcW w:type="dxa" w:w="51840"/>
            <w:shd w:val="clear" w:fill="123B4F"/>
          </w:tcPr>
          <w:p>
            <w:r/>
            <w:r>
              <w:rPr>
                <w:rFonts w:ascii="Calibri" w:hAnsi="Calibri"/>
                <w:b/>
                <w:i w:val="0"/>
                <w:color w:val="FFFFFF"/>
                <w:sz w:val="18"/>
              </w:rPr>
              <w:t>Standard</w:t>
            </w:r>
          </w:p>
        </w:tc>
        <w:tc>
          <w:tcPr>
            <w:tcW w:type="dxa" w:w="43200"/>
            <w:shd w:val="clear" w:fill="123B4F"/>
          </w:tcPr>
          <w:p>
            <w:r/>
            <w:r>
              <w:rPr>
                <w:rFonts w:ascii="Calibri" w:hAnsi="Calibri"/>
                <w:b/>
                <w:i w:val="0"/>
                <w:color w:val="FFFFFF"/>
                <w:sz w:val="18"/>
              </w:rPr>
              <w:t>Consequence of breach</w:t>
            </w:r>
          </w:p>
        </w:tc>
      </w:tr>
      <w:tr>
        <w:tc>
          <w:tcPr>
            <w:tcW w:type="dxa" w:w="48960"/>
          </w:tcPr>
          <w:p>
            <w:r/>
            <w:r>
              <w:rPr>
                <w:rFonts w:ascii="Calibri" w:hAnsi="Calibri"/>
                <w:b w:val="0"/>
                <w:i w:val="0"/>
                <w:color w:val="1B2A32"/>
                <w:sz w:val="18"/>
              </w:rPr>
              <w:t>Cashless authorisation (health)</w:t>
            </w:r>
          </w:p>
        </w:tc>
        <w:tc>
          <w:tcPr>
            <w:tcW w:type="dxa" w:w="51840"/>
          </w:tcPr>
          <w:p>
            <w:r/>
            <w:r>
              <w:rPr>
                <w:rFonts w:ascii="Calibri" w:hAnsi="Calibri"/>
                <w:b w:val="0"/>
                <w:i w:val="0"/>
                <w:color w:val="1B2A32"/>
                <w:sz w:val="18"/>
              </w:rPr>
              <w:t xml:space="preserve">Within </w:t>
            </w:r>
            <w:r>
              <w:rPr>
                <w:rFonts w:ascii="Calibri" w:hAnsi="Calibri"/>
                <w:b/>
                <w:i w:val="0"/>
                <w:color w:val="1B2A32"/>
                <w:sz w:val="18"/>
              </w:rPr>
              <w:t>1 hour</w:t>
            </w:r>
            <w:r>
              <w:rPr>
                <w:rFonts w:ascii="Calibri" w:hAnsi="Calibri"/>
                <w:b w:val="0"/>
                <w:i w:val="0"/>
                <w:color w:val="1B2A32"/>
                <w:sz w:val="18"/>
              </w:rPr>
              <w:t xml:space="preserve"> of the hospital's request</w:t>
            </w:r>
          </w:p>
        </w:tc>
        <w:tc>
          <w:tcPr>
            <w:tcW w:type="dxa" w:w="43200"/>
          </w:tcPr>
          <w:p>
            <w:r/>
            <w:r>
              <w:rPr>
                <w:rFonts w:ascii="Calibri" w:hAnsi="Calibri"/>
                <w:b w:val="0"/>
                <w:i w:val="0"/>
                <w:color w:val="1B2A32"/>
                <w:sz w:val="18"/>
              </w:rPr>
              <w:t>Insurer bears additional hospital charges caused by delay</w:t>
            </w:r>
          </w:p>
        </w:tc>
      </w:tr>
      <w:tr>
        <w:tc>
          <w:tcPr>
            <w:tcW w:type="dxa" w:w="48960"/>
            <w:shd w:val="clear" w:fill="F3F7F9"/>
          </w:tcPr>
          <w:p>
            <w:r/>
            <w:r>
              <w:rPr>
                <w:rFonts w:ascii="Calibri" w:hAnsi="Calibri"/>
                <w:b w:val="0"/>
                <w:i w:val="0"/>
                <w:color w:val="1B2A32"/>
                <w:sz w:val="18"/>
              </w:rPr>
              <w:t>Final discharge authorisation (health)</w:t>
            </w:r>
          </w:p>
        </w:tc>
        <w:tc>
          <w:tcPr>
            <w:tcW w:type="dxa" w:w="51840"/>
            <w:shd w:val="clear" w:fill="F3F7F9"/>
          </w:tcPr>
          <w:p>
            <w:r/>
            <w:r>
              <w:rPr>
                <w:rFonts w:ascii="Calibri" w:hAnsi="Calibri"/>
                <w:b w:val="0"/>
                <w:i w:val="0"/>
                <w:color w:val="1B2A32"/>
                <w:sz w:val="18"/>
              </w:rPr>
              <w:t xml:space="preserve">Within </w:t>
            </w:r>
            <w:r>
              <w:rPr>
                <w:rFonts w:ascii="Calibri" w:hAnsi="Calibri"/>
                <w:b/>
                <w:i w:val="0"/>
                <w:color w:val="1B2A32"/>
                <w:sz w:val="18"/>
              </w:rPr>
              <w:t>3 hours</w:t>
            </w:r>
            <w:r>
              <w:rPr>
                <w:rFonts w:ascii="Calibri" w:hAnsi="Calibri"/>
                <w:b w:val="0"/>
                <w:i w:val="0"/>
                <w:color w:val="1B2A32"/>
                <w:sz w:val="18"/>
              </w:rPr>
              <w:t xml:space="preserve"> of the hospital's request</w:t>
            </w:r>
          </w:p>
        </w:tc>
        <w:tc>
          <w:tcPr>
            <w:tcW w:type="dxa" w:w="43200"/>
            <w:shd w:val="clear" w:fill="F3F7F9"/>
          </w:tcPr>
          <w:p>
            <w:r/>
            <w:r>
              <w:rPr>
                <w:rFonts w:ascii="Calibri" w:hAnsi="Calibri"/>
                <w:b w:val="0"/>
                <w:i w:val="0"/>
                <w:color w:val="1B2A32"/>
                <w:sz w:val="18"/>
              </w:rPr>
              <w:t>As above</w:t>
            </w:r>
          </w:p>
        </w:tc>
      </w:tr>
      <w:tr>
        <w:tc>
          <w:tcPr>
            <w:tcW w:type="dxa" w:w="48960"/>
          </w:tcPr>
          <w:p>
            <w:r/>
            <w:r>
              <w:rPr>
                <w:rFonts w:ascii="Calibri" w:hAnsi="Calibri"/>
                <w:b w:val="0"/>
                <w:i w:val="0"/>
                <w:color w:val="1B2A32"/>
                <w:sz w:val="18"/>
              </w:rPr>
              <w:t>Claim settlement</w:t>
            </w:r>
          </w:p>
        </w:tc>
        <w:tc>
          <w:tcPr>
            <w:tcW w:type="dxa" w:w="51840"/>
          </w:tcPr>
          <w:p>
            <w:r/>
            <w:r>
              <w:rPr>
                <w:rFonts w:ascii="Calibri" w:hAnsi="Calibri"/>
                <w:b w:val="0"/>
                <w:i w:val="0"/>
                <w:color w:val="1B2A32"/>
                <w:sz w:val="18"/>
              </w:rPr>
              <w:t xml:space="preserve">Within </w:t>
            </w:r>
            <w:r>
              <w:rPr>
                <w:rFonts w:ascii="Calibri" w:hAnsi="Calibri"/>
                <w:b/>
                <w:i w:val="0"/>
                <w:color w:val="1B2A32"/>
                <w:sz w:val="18"/>
              </w:rPr>
              <w:t>30 days</w:t>
            </w:r>
            <w:r>
              <w:rPr>
                <w:rFonts w:ascii="Calibri" w:hAnsi="Calibri"/>
                <w:b w:val="0"/>
                <w:i w:val="0"/>
                <w:color w:val="1B2A32"/>
                <w:sz w:val="18"/>
              </w:rPr>
              <w:t xml:space="preserve"> of receipt of the last necessary document</w:t>
            </w:r>
          </w:p>
        </w:tc>
        <w:tc>
          <w:tcPr>
            <w:tcW w:type="dxa" w:w="43200"/>
          </w:tcPr>
          <w:p>
            <w:r/>
            <w:r>
              <w:rPr>
                <w:rFonts w:ascii="Calibri" w:hAnsi="Calibri"/>
                <w:b/>
                <w:i w:val="0"/>
                <w:color w:val="1B2A32"/>
                <w:sz w:val="18"/>
              </w:rPr>
              <w:t>Interest at 2% above the bank rate</w:t>
            </w:r>
            <w:r>
              <w:rPr>
                <w:rFonts w:ascii="Calibri" w:hAnsi="Calibri"/>
                <w:b w:val="0"/>
                <w:i w:val="0"/>
                <w:color w:val="1B2A32"/>
                <w:sz w:val="18"/>
              </w:rPr>
              <w:t xml:space="preserve"> on the delayed amount</w:t>
            </w:r>
          </w:p>
        </w:tc>
      </w:tr>
      <w:tr>
        <w:tc>
          <w:tcPr>
            <w:tcW w:type="dxa" w:w="48960"/>
            <w:shd w:val="clear" w:fill="F3F7F9"/>
          </w:tcPr>
          <w:p>
            <w:r/>
            <w:r>
              <w:rPr>
                <w:rFonts w:ascii="Calibri" w:hAnsi="Calibri"/>
                <w:b w:val="0"/>
                <w:i w:val="0"/>
                <w:color w:val="1B2A32"/>
                <w:sz w:val="18"/>
              </w:rPr>
              <w:t>Document call</w:t>
            </w:r>
          </w:p>
        </w:tc>
        <w:tc>
          <w:tcPr>
            <w:tcW w:type="dxa" w:w="51840"/>
            <w:shd w:val="clear" w:fill="F3F7F9"/>
          </w:tcPr>
          <w:p>
            <w:r/>
            <w:r>
              <w:rPr>
                <w:rFonts w:ascii="Calibri" w:hAnsi="Calibri"/>
                <w:b w:val="0"/>
                <w:i w:val="0"/>
                <w:color w:val="1B2A32"/>
                <w:sz w:val="18"/>
              </w:rPr>
              <w:t>Called for at once, not piecemeal</w:t>
            </w:r>
          </w:p>
        </w:tc>
        <w:tc>
          <w:tcPr>
            <w:tcW w:type="dxa" w:w="43200"/>
            <w:shd w:val="clear" w:fill="F3F7F9"/>
          </w:tcPr>
          <w:p>
            <w:r/>
            <w:r>
              <w:rPr>
                <w:rFonts w:ascii="Calibri" w:hAnsi="Calibri"/>
                <w:b w:val="0"/>
                <w:i w:val="0"/>
                <w:color w:val="1B2A32"/>
                <w:sz w:val="18"/>
              </w:rPr>
              <w:t>Piecemeal calls do not restart the clock in practice</w:t>
            </w:r>
          </w:p>
        </w:tc>
      </w:tr>
      <w:tr>
        <w:tc>
          <w:tcPr>
            <w:tcW w:type="dxa" w:w="48960"/>
          </w:tcPr>
          <w:p>
            <w:r/>
            <w:r>
              <w:rPr>
                <w:rFonts w:ascii="Calibri" w:hAnsi="Calibri"/>
                <w:b w:val="0"/>
                <w:i w:val="0"/>
                <w:color w:val="1B2A32"/>
                <w:sz w:val="18"/>
              </w:rPr>
              <w:t>Grievance acknowledgement / resolution</w:t>
            </w:r>
          </w:p>
        </w:tc>
        <w:tc>
          <w:tcPr>
            <w:tcW w:type="dxa" w:w="51840"/>
          </w:tcPr>
          <w:p>
            <w:r/>
            <w:r>
              <w:rPr>
                <w:rFonts w:ascii="Calibri" w:hAnsi="Calibri"/>
                <w:b w:val="0"/>
                <w:i w:val="0"/>
                <w:color w:val="1B2A32"/>
                <w:sz w:val="18"/>
              </w:rPr>
              <w:t>Per the Master Circular timelines</w:t>
            </w:r>
          </w:p>
        </w:tc>
        <w:tc>
          <w:tcPr>
            <w:tcW w:type="dxa" w:w="43200"/>
          </w:tcPr>
          <w:p>
            <w:r/>
            <w:r>
              <w:rPr>
                <w:rFonts w:ascii="Calibri" w:hAnsi="Calibri"/>
                <w:b w:val="0"/>
                <w:i w:val="0"/>
                <w:color w:val="1B2A32"/>
                <w:sz w:val="18"/>
              </w:rPr>
              <w:t>Escalation to IRDAI Bima Bharosa and the Ombudsman</w:t>
            </w:r>
          </w:p>
        </w:tc>
      </w:tr>
    </w:tbl>
    <w:p>
      <w:pPr>
        <w:spacing w:after="40"/>
      </w:pPr>
    </w:p>
    <w:tbl>
      <w:tblPr>
        <w:tblW w:type="auto" w:w="0"/>
        <w:jc w:val="center"/>
        <w:tblLook w:firstColumn="1" w:firstRow="1" w:lastColumn="0" w:lastRow="0" w:noHBand="0" w:noVBand="1" w:val="04A0"/>
      </w:tblPr>
      <w:tblGrid>
        <w:gridCol w:w="9504"/>
      </w:tblGrid>
      <w:tr>
        <w:tc>
          <w:tcPr>
            <w:tcW w:type="dxa" w:w="9360"/>
            <w:shd w:val="clear" w:fill="DCEAEF"/>
            <w:tcBorders>
              <w:start w:val="single" w:sz="22" w:space="0" w:color="1E7A8C"/>
            </w:tcBorders>
          </w:tcPr>
          <w:p>
            <w:r>
              <w:rPr>
                <w:rFonts w:ascii="Calibri" w:hAnsi="Calibri"/>
                <w:b/>
                <w:i w:val="0"/>
                <w:color w:val="123B4F"/>
                <w:sz w:val="18"/>
              </w:rPr>
              <w:t>HOW A NEUTRAL USES THE CLOCKS</w:t>
            </w:r>
          </w:p>
          <w:p>
            <w:r>
              <w:rPr>
                <w:rFonts w:ascii="Calibri" w:hAnsi="Calibri"/>
                <w:b w:val="0"/>
                <w:i w:val="0"/>
                <w:color w:val="1B2A32"/>
                <w:sz w:val="19"/>
              </w:rPr>
              <w:t>The turnaround standards convert a soft 'you delayed' into a specific, dated, costed claim: X days beyond 30, at 2% above the bank rate, plus any hospital charge the insurer's own delay caused. Insurers concede interest readily because it is cheap relative to an adverse award and a reportable grievance metric. [verify — confirm the exact clauses and the current bank rate before quoting a figure to a party.]</w:t>
            </w:r>
          </w:p>
        </w:tc>
      </w:tr>
    </w:tbl>
    <w:p>
      <w:pPr>
        <w:spacing w:after="40"/>
      </w:pPr>
    </w:p>
    <w:p>
      <w:pPr>
        <w:keepNext/>
        <w:spacing w:before="200" w:after="60"/>
      </w:pPr>
      <w:r>
        <w:rPr>
          <w:rFonts w:ascii="Calibri" w:hAnsi="Calibri"/>
          <w:b/>
          <w:i w:val="0"/>
          <w:color w:val="1E7A8C"/>
          <w:sz w:val="25"/>
        </w:rPr>
        <w:t>4.6  4.6  Discharge vouchers and 'full and final'</w:t>
      </w:r>
    </w:p>
    <w:p>
      <w:pPr>
        <w:spacing w:after="120"/>
        <w:jc w:val="both"/>
      </w:pPr>
      <w:r>
        <w:rPr>
          <w:rFonts w:ascii="Calibri" w:hAnsi="Calibri"/>
          <w:b w:val="0"/>
          <w:i w:val="0"/>
          <w:color w:val="1B2A32"/>
          <w:sz w:val="21"/>
        </w:rPr>
        <w:t>Insurers routinely require a full-and-final discharge voucher before releasing payment, and a policyholder in need signs it. The law does not treat that as the end of the matter where consent was not free.</w:t>
      </w:r>
    </w:p>
    <w:tbl>
      <w:tblPr>
        <w:tblStyle w:val="TableGrid"/>
        <w:tblW w:type="auto" w:w="0"/>
        <w:jc w:val="center"/>
        <w:tblLook w:firstColumn="1" w:firstRow="1" w:lastColumn="0" w:lastRow="0" w:noHBand="0" w:noVBand="1" w:val="04A0"/>
      </w:tblPr>
      <w:tblGrid>
        <w:gridCol w:w="4752"/>
        <w:gridCol w:w="4752"/>
      </w:tblGrid>
      <w:tr>
        <w:tc>
          <w:tcPr>
            <w:tcW w:type="dxa" w:w="80640"/>
            <w:shd w:val="clear" w:fill="123B4F"/>
          </w:tcPr>
          <w:p>
            <w:r/>
            <w:r>
              <w:rPr>
                <w:rFonts w:ascii="Calibri" w:hAnsi="Calibri"/>
                <w:b/>
                <w:i w:val="0"/>
                <w:color w:val="FFFFFF"/>
                <w:sz w:val="18"/>
              </w:rPr>
              <w:t>Point</w:t>
            </w:r>
          </w:p>
        </w:tc>
        <w:tc>
          <w:tcPr>
            <w:tcW w:type="dxa" w:w="63360"/>
            <w:shd w:val="clear" w:fill="123B4F"/>
          </w:tcPr>
          <w:p>
            <w:r/>
            <w:r>
              <w:rPr>
                <w:rFonts w:ascii="Calibri" w:hAnsi="Calibri"/>
                <w:b/>
                <w:i w:val="0"/>
                <w:color w:val="FFFFFF"/>
                <w:sz w:val="18"/>
              </w:rPr>
              <w:t>Authority</w:t>
            </w:r>
          </w:p>
        </w:tc>
      </w:tr>
      <w:tr>
        <w:tc>
          <w:tcPr>
            <w:tcW w:type="dxa" w:w="80640"/>
          </w:tcPr>
          <w:p>
            <w:r/>
            <w:r>
              <w:rPr>
                <w:rFonts w:ascii="Calibri" w:hAnsi="Calibri"/>
                <w:b w:val="0"/>
                <w:i w:val="0"/>
                <w:color w:val="1B2A32"/>
                <w:sz w:val="18"/>
              </w:rPr>
              <w:t>A discharge voucher obtained by fraud, coercion or undue influence is not a bar; but the party must produce prima facie evidence of the duress</w:t>
            </w:r>
          </w:p>
        </w:tc>
        <w:tc>
          <w:tcPr>
            <w:tcW w:type="dxa" w:w="63360"/>
          </w:tcPr>
          <w:p>
            <w:r/>
            <w:r>
              <w:rPr>
                <w:rFonts w:ascii="Calibri" w:hAnsi="Calibri"/>
                <w:b w:val="0"/>
                <w:i w:val="0"/>
                <w:color w:val="1B2A32"/>
                <w:sz w:val="18"/>
              </w:rPr>
              <w:t>*National Insurance v. Boghara Polyfab (P) Ltd.*, (2009) 1 SCC 267 [verify]</w:t>
            </w:r>
          </w:p>
        </w:tc>
      </w:tr>
      <w:tr>
        <w:tc>
          <w:tcPr>
            <w:tcW w:type="dxa" w:w="80640"/>
            <w:shd w:val="clear" w:fill="F3F7F9"/>
          </w:tcPr>
          <w:p>
            <w:r/>
            <w:r>
              <w:rPr>
                <w:rFonts w:ascii="Calibri" w:hAnsi="Calibri"/>
                <w:b w:val="0"/>
                <w:i w:val="0"/>
                <w:color w:val="1B2A32"/>
                <w:sz w:val="18"/>
              </w:rPr>
              <w:t>'Full and final' does not bind where consent was procured by economic duress</w:t>
            </w:r>
          </w:p>
        </w:tc>
        <w:tc>
          <w:tcPr>
            <w:tcW w:type="dxa" w:w="63360"/>
            <w:shd w:val="clear" w:fill="F3F7F9"/>
          </w:tcPr>
          <w:p>
            <w:r/>
            <w:r>
              <w:rPr>
                <w:rFonts w:ascii="Calibri" w:hAnsi="Calibri"/>
                <w:b w:val="0"/>
                <w:i w:val="0"/>
                <w:color w:val="1B2A32"/>
                <w:sz w:val="18"/>
              </w:rPr>
              <w:t>Supreme Court, 2025 [verify — 2025 INSC citation]</w:t>
            </w:r>
          </w:p>
        </w:tc>
      </w:tr>
    </w:tbl>
    <w:p>
      <w:pPr>
        <w:spacing w:after="40"/>
      </w:pPr>
    </w:p>
    <w:tbl>
      <w:tblPr>
        <w:tblW w:type="auto" w:w="0"/>
        <w:jc w:val="center"/>
        <w:tblLook w:firstColumn="1" w:firstRow="1" w:lastColumn="0" w:lastRow="0" w:noHBand="0" w:noVBand="1" w:val="04A0"/>
      </w:tblPr>
      <w:tblGrid>
        <w:gridCol w:w="9504"/>
      </w:tblGrid>
      <w:tr>
        <w:tc>
          <w:tcPr>
            <w:tcW w:type="dxa" w:w="9360"/>
            <w:shd w:val="clear" w:fill="F5ECD6"/>
            <w:tcBorders>
              <w:start w:val="single" w:sz="22" w:space="0" w:color="C6A15B"/>
            </w:tcBorders>
          </w:tcPr>
          <w:p>
            <w:r>
              <w:rPr>
                <w:rFonts w:ascii="Calibri" w:hAnsi="Calibri"/>
                <w:b/>
                <w:i w:val="0"/>
                <w:color w:val="123B4F"/>
                <w:sz w:val="18"/>
              </w:rPr>
              <w:t>THE PRACTICAL CONTROL</w:t>
            </w:r>
          </w:p>
          <w:p>
            <w:r>
              <w:rPr>
                <w:rFonts w:ascii="Calibri" w:hAnsi="Calibri"/>
                <w:b w:val="0"/>
                <w:i w:val="0"/>
                <w:color w:val="1B2A32"/>
                <w:sz w:val="19"/>
              </w:rPr>
              <w:t xml:space="preserve">Where the amount is disputed, the voucher must be endorsed </w:t>
            </w:r>
            <w:r>
              <w:rPr>
                <w:rFonts w:ascii="Calibri" w:hAnsi="Calibri"/>
                <w:b/>
                <w:i w:val="0"/>
                <w:color w:val="1B2A32"/>
                <w:sz w:val="19"/>
              </w:rPr>
              <w:t>'under protest, balance reserved'</w:t>
            </w:r>
            <w:r>
              <w:rPr>
                <w:rFonts w:ascii="Calibri" w:hAnsi="Calibri"/>
                <w:b w:val="0"/>
                <w:i w:val="0"/>
                <w:color w:val="1B2A32"/>
                <w:sz w:val="19"/>
              </w:rPr>
              <w:t xml:space="preserve"> — Form F-I17 makes this a tick-box and the database requires a reserved balance whenever the basis is 'under_protest'. Advise the party in writing before they sign, and keep a photograph of the endorsed voucher.</w:t>
            </w:r>
          </w:p>
        </w:tc>
      </w:tr>
    </w:tbl>
    <w:p>
      <w:pPr>
        <w:spacing w:after="40"/>
      </w:pPr>
    </w:p>
    <w:p>
      <w:pPr>
        <w:keepNext/>
        <w:spacing w:before="200" w:after="60"/>
      </w:pPr>
      <w:r>
        <w:rPr>
          <w:rFonts w:ascii="Calibri" w:hAnsi="Calibri"/>
          <w:b/>
          <w:i w:val="0"/>
          <w:color w:val="1E7A8C"/>
          <w:sz w:val="25"/>
        </w:rPr>
        <w:t>4.7  4.7  Contribution and double insurance</w:t>
      </w:r>
    </w:p>
    <w:p>
      <w:pPr>
        <w:spacing w:after="120"/>
        <w:jc w:val="both"/>
      </w:pPr>
      <w:r>
        <w:rPr>
          <w:rFonts w:ascii="Calibri" w:hAnsi="Calibri"/>
          <w:b w:val="0"/>
          <w:i w:val="0"/>
          <w:color w:val="1B2A32"/>
          <w:sz w:val="21"/>
        </w:rPr>
        <w:t xml:space="preserve">Where the same risk is insured with more than one insurer, the insured cannot recover more than the loss, and the insurers </w:t>
      </w:r>
      <w:r>
        <w:rPr>
          <w:rFonts w:ascii="Calibri" w:hAnsi="Calibri"/>
          <w:b/>
          <w:i w:val="0"/>
          <w:color w:val="1B2A32"/>
          <w:sz w:val="21"/>
        </w:rPr>
        <w:t>contribute</w:t>
      </w:r>
      <w:r>
        <w:rPr>
          <w:rFonts w:ascii="Calibri" w:hAnsi="Calibri"/>
          <w:b w:val="0"/>
          <w:i w:val="0"/>
          <w:color w:val="1B2A32"/>
          <w:sz w:val="21"/>
        </w:rPr>
        <w:t xml:space="preserve"> rateably. The insured should be made whole first and the apportionment resolved among the insurers — a natural three-way mediation that no single Ombudsman complaint can achieve.</w:t>
      </w:r>
    </w:p>
    <w:p>
      <w:pPr>
        <w:keepNext/>
        <w:spacing w:before="200" w:after="60"/>
      </w:pPr>
      <w:r>
        <w:rPr>
          <w:rFonts w:ascii="Calibri" w:hAnsi="Calibri"/>
          <w:b/>
          <w:i w:val="0"/>
          <w:color w:val="1E7A8C"/>
          <w:sz w:val="25"/>
        </w:rPr>
        <w:t>4.8  4.8  Subrogation and recovery</w:t>
      </w:r>
    </w:p>
    <w:p>
      <w:pPr>
        <w:spacing w:after="120"/>
        <w:jc w:val="both"/>
      </w:pPr>
      <w:r>
        <w:rPr>
          <w:rFonts w:ascii="Calibri" w:hAnsi="Calibri"/>
          <w:b w:val="0"/>
          <w:i w:val="0"/>
          <w:color w:val="1B2A32"/>
          <w:sz w:val="21"/>
        </w:rPr>
        <w:t>On payment, the insurer succeeds to the insured's rights against the third party who caused the loss. Disputes arise over the insured's cooperation, the sharing of recoveries above the paid amount, and letters of subrogation. Recovery sharing is a useful trading chip in a mediated settlement.</w:t>
      </w:r>
    </w:p>
    <w:p>
      <w:pPr>
        <w:keepNext/>
        <w:spacing w:before="200" w:after="60"/>
      </w:pPr>
      <w:r>
        <w:rPr>
          <w:rFonts w:ascii="Calibri" w:hAnsi="Calibri"/>
          <w:b/>
          <w:i w:val="0"/>
          <w:color w:val="1E7A8C"/>
          <w:sz w:val="25"/>
        </w:rPr>
        <w:t>4.9  4.9  Underinsurance and average</w:t>
      </w:r>
    </w:p>
    <w:p>
      <w:pPr>
        <w:spacing w:after="120"/>
        <w:jc w:val="both"/>
      </w:pPr>
      <w:r>
        <w:rPr>
          <w:rFonts w:ascii="Calibri" w:hAnsi="Calibri"/>
          <w:b w:val="0"/>
          <w:i w:val="0"/>
          <w:color w:val="1B2A32"/>
          <w:sz w:val="21"/>
        </w:rPr>
        <w:t xml:space="preserve">Where the sum insured is below the value at risk, the claim is reduced in proportion (the condition of average). The </w:t>
      </w:r>
      <w:r>
        <w:rPr>
          <w:rFonts w:ascii="Calibri" w:hAnsi="Calibri"/>
          <w:b/>
          <w:i w:val="0"/>
          <w:color w:val="1B2A32"/>
          <w:sz w:val="21"/>
        </w:rPr>
        <w:t>valuation basis and date</w:t>
      </w:r>
      <w:r>
        <w:rPr>
          <w:rFonts w:ascii="Calibri" w:hAnsi="Calibri"/>
          <w:b w:val="0"/>
          <w:i w:val="0"/>
          <w:color w:val="1B2A32"/>
          <w:sz w:val="21"/>
        </w:rPr>
        <w:t xml:space="preserve"> are almost always the negotiable element, and where a broker set the sum insured a three-way conversation with the broker frequently unlocks the settlement.</w:t>
      </w:r>
    </w:p>
    <w:p>
      <w:pPr>
        <w:keepNext/>
        <w:spacing w:before="200" w:after="60"/>
      </w:pPr>
      <w:r>
        <w:rPr>
          <w:rFonts w:ascii="Calibri" w:hAnsi="Calibri"/>
          <w:b/>
          <w:i w:val="0"/>
          <w:color w:val="1E7A8C"/>
          <w:sz w:val="25"/>
        </w:rPr>
        <w:t>4.10  4.10  Exclusions — war, terrorism, nuclear, pandemic</w:t>
      </w:r>
    </w:p>
    <w:p>
      <w:pPr>
        <w:spacing w:after="120"/>
        <w:jc w:val="both"/>
      </w:pPr>
      <w:r>
        <w:rPr>
          <w:rFonts w:ascii="Calibri" w:hAnsi="Calibri"/>
          <w:b w:val="0"/>
          <w:i w:val="0"/>
          <w:color w:val="1B2A32"/>
          <w:sz w:val="21"/>
        </w:rPr>
        <w:t xml:space="preserve">These are often binary and therefore less mediable — but the </w:t>
      </w:r>
      <w:r>
        <w:rPr>
          <w:rFonts w:ascii="Calibri" w:hAnsi="Calibri"/>
          <w:b/>
          <w:i w:val="0"/>
          <w:color w:val="1B2A32"/>
          <w:sz w:val="21"/>
        </w:rPr>
        <w:t>trigger</w:t>
      </w:r>
      <w:r>
        <w:rPr>
          <w:rFonts w:ascii="Calibri" w:hAnsi="Calibri"/>
          <w:b w:val="0"/>
          <w:i w:val="0"/>
          <w:color w:val="1B2A32"/>
          <w:sz w:val="21"/>
        </w:rPr>
        <w:t xml:space="preserve"> and the </w:t>
      </w:r>
      <w:r>
        <w:rPr>
          <w:rFonts w:ascii="Calibri" w:hAnsi="Calibri"/>
          <w:b/>
          <w:i w:val="0"/>
          <w:color w:val="1B2A32"/>
          <w:sz w:val="21"/>
        </w:rPr>
        <w:t>wording</w:t>
      </w:r>
      <w:r>
        <w:rPr>
          <w:rFonts w:ascii="Calibri" w:hAnsi="Calibri"/>
          <w:b w:val="0"/>
          <w:i w:val="0"/>
          <w:color w:val="1B2A32"/>
          <w:sz w:val="21"/>
        </w:rPr>
        <w:t xml:space="preserve"> are frequently contestable. Terrorism is typically written back via the Indian Market Terrorism Risk Insurance Pool; pandemic and virus exclusions became central after 2020 and turn on whether the policy requires 'direct physical loss or damage' (see the BI &amp; Emerging-Risk supplement).</w:t>
      </w:r>
    </w:p>
    <w:p>
      <w:r>
        <w:br w:type="page"/>
      </w:r>
    </w:p>
    <w:p>
      <w:pPr>
        <w:keepNext/>
        <w:spacing w:before="280" w:after="120"/>
        <w:pBdr>
          <w:bottom w:val="single" w:sz="12" w:space="3" w:color="C6A15B"/>
        </w:pBdr>
      </w:pPr>
      <w:r>
        <w:rPr>
          <w:rFonts w:ascii="Calibri" w:hAnsi="Calibri"/>
          <w:b/>
          <w:i w:val="0"/>
          <w:color w:val="123B4F"/>
          <w:sz w:val="32"/>
        </w:rPr>
        <w:t>5.  Part 5 — Worked numerical examples</w:t>
      </w:r>
    </w:p>
    <w:p>
      <w:pPr>
        <w:spacing w:after="120"/>
        <w:jc w:val="both"/>
      </w:pPr>
      <w:r>
        <w:rPr>
          <w:rFonts w:ascii="Calibri" w:hAnsi="Calibri"/>
          <w:b w:val="0"/>
          <w:i w:val="0"/>
          <w:color w:val="1B2A32"/>
          <w:sz w:val="21"/>
        </w:rPr>
        <w:t>Illustrative composites, not real cases. Each shows the arithmetic a neutral works from.</w:t>
      </w:r>
    </w:p>
    <w:p>
      <w:pPr>
        <w:keepNext/>
        <w:spacing w:before="200" w:after="60"/>
      </w:pPr>
      <w:r>
        <w:rPr>
          <w:rFonts w:ascii="Calibri" w:hAnsi="Calibri"/>
          <w:b/>
          <w:i w:val="0"/>
          <w:color w:val="1E7A8C"/>
          <w:sz w:val="25"/>
        </w:rPr>
        <w:t>5.1  5.1  Health — the deduction stack (with the corrected proportionality)</w:t>
      </w:r>
    </w:p>
    <w:tbl>
      <w:tblPr>
        <w:tblStyle w:val="TableGrid"/>
        <w:tblW w:type="auto" w:w="0"/>
        <w:jc w:val="center"/>
        <w:tblLook w:firstColumn="1" w:firstRow="1" w:lastColumn="0" w:lastRow="0" w:noHBand="0" w:noVBand="1" w:val="04A0"/>
      </w:tblPr>
      <w:tblGrid>
        <w:gridCol w:w="1584"/>
        <w:gridCol w:w="1584"/>
        <w:gridCol w:w="1584"/>
        <w:gridCol w:w="1584"/>
        <w:gridCol w:w="1584"/>
        <w:gridCol w:w="1584"/>
      </w:tblGrid>
      <w:tr>
        <w:tc>
          <w:tcPr>
            <w:tcW w:type="dxa" w:w="43200"/>
            <w:shd w:val="clear" w:fill="123B4F"/>
          </w:tcPr>
          <w:p>
            <w:r/>
            <w:r>
              <w:rPr>
                <w:rFonts w:ascii="Calibri" w:hAnsi="Calibri"/>
                <w:b/>
                <w:i w:val="0"/>
                <w:color w:val="FFFFFF"/>
                <w:sz w:val="18"/>
              </w:rPr>
              <w:t>Head</w:t>
            </w:r>
          </w:p>
        </w:tc>
        <w:tc>
          <w:tcPr>
            <w:tcW w:type="dxa" w:w="18720"/>
            <w:shd w:val="clear" w:fill="123B4F"/>
          </w:tcPr>
          <w:p>
            <w:r/>
            <w:r>
              <w:rPr>
                <w:rFonts w:ascii="Calibri" w:hAnsi="Calibri"/>
                <w:b/>
                <w:i w:val="0"/>
                <w:color w:val="FFFFFF"/>
                <w:sz w:val="18"/>
              </w:rPr>
              <w:t>Billed (₹)</w:t>
            </w:r>
          </w:p>
        </w:tc>
        <w:tc>
          <w:tcPr>
            <w:tcW w:type="dxa" w:w="18720"/>
            <w:shd w:val="clear" w:fill="123B4F"/>
          </w:tcPr>
          <w:p>
            <w:r/>
            <w:r>
              <w:rPr>
                <w:rFonts w:ascii="Calibri" w:hAnsi="Calibri"/>
                <w:b/>
                <w:i w:val="0"/>
                <w:color w:val="FFFFFF"/>
                <w:sz w:val="18"/>
              </w:rPr>
              <w:t>Allowed (₹)</w:t>
            </w:r>
          </w:p>
        </w:tc>
        <w:tc>
          <w:tcPr>
            <w:tcW w:type="dxa" w:w="18720"/>
            <w:shd w:val="clear" w:fill="123B4F"/>
          </w:tcPr>
          <w:p>
            <w:r/>
            <w:r>
              <w:rPr>
                <w:rFonts w:ascii="Calibri" w:hAnsi="Calibri"/>
                <w:b/>
                <w:i w:val="0"/>
                <w:color w:val="FFFFFF"/>
                <w:sz w:val="18"/>
              </w:rPr>
              <w:t>Deducted (₹)</w:t>
            </w:r>
          </w:p>
        </w:tc>
        <w:tc>
          <w:tcPr>
            <w:tcW w:type="dxa" w:w="18720"/>
            <w:shd w:val="clear" w:fill="123B4F"/>
          </w:tcPr>
          <w:p>
            <w:r/>
            <w:r>
              <w:rPr>
                <w:rFonts w:ascii="Calibri" w:hAnsi="Calibri"/>
                <w:b/>
                <w:i w:val="0"/>
                <w:color w:val="FFFFFF"/>
                <w:sz w:val="18"/>
              </w:rPr>
              <w:t>Varies with room?</w:t>
            </w:r>
          </w:p>
        </w:tc>
        <w:tc>
          <w:tcPr>
            <w:tcW w:type="dxa" w:w="25920"/>
            <w:shd w:val="clear" w:fill="123B4F"/>
          </w:tcPr>
          <w:p>
            <w:r/>
            <w:r>
              <w:rPr>
                <w:rFonts w:ascii="Calibri" w:hAnsi="Calibri"/>
                <w:b/>
                <w:i w:val="0"/>
                <w:color w:val="FFFFFF"/>
                <w:sz w:val="18"/>
              </w:rPr>
              <w:t>Correct treatment</w:t>
            </w:r>
          </w:p>
        </w:tc>
      </w:tr>
      <w:tr>
        <w:tc>
          <w:tcPr>
            <w:tcW w:type="dxa" w:w="43200"/>
          </w:tcPr>
          <w:p>
            <w:r/>
            <w:r>
              <w:rPr>
                <w:rFonts w:ascii="Calibri" w:hAnsi="Calibri"/>
                <w:b w:val="0"/>
                <w:i w:val="0"/>
                <w:color w:val="1B2A32"/>
                <w:sz w:val="18"/>
              </w:rPr>
              <w:t>Room rent (₹8,000 vs ₹5,000 eligible)</w:t>
            </w:r>
          </w:p>
        </w:tc>
        <w:tc>
          <w:tcPr>
            <w:tcW w:type="dxa" w:w="18720"/>
          </w:tcPr>
          <w:p>
            <w:r/>
            <w:r>
              <w:rPr>
                <w:rFonts w:ascii="Calibri" w:hAnsi="Calibri"/>
                <w:b w:val="0"/>
                <w:i w:val="0"/>
                <w:color w:val="1B2A32"/>
                <w:sz w:val="18"/>
              </w:rPr>
              <w:t>32,000</w:t>
            </w:r>
          </w:p>
        </w:tc>
        <w:tc>
          <w:tcPr>
            <w:tcW w:type="dxa" w:w="18720"/>
          </w:tcPr>
          <w:p>
            <w:r/>
            <w:r>
              <w:rPr>
                <w:rFonts w:ascii="Calibri" w:hAnsi="Calibri"/>
                <w:b w:val="0"/>
                <w:i w:val="0"/>
                <w:color w:val="1B2A32"/>
                <w:sz w:val="18"/>
              </w:rPr>
              <w:t>20,000</w:t>
            </w:r>
          </w:p>
        </w:tc>
        <w:tc>
          <w:tcPr>
            <w:tcW w:type="dxa" w:w="18720"/>
          </w:tcPr>
          <w:p>
            <w:r/>
            <w:r>
              <w:rPr>
                <w:rFonts w:ascii="Calibri" w:hAnsi="Calibri"/>
                <w:b w:val="0"/>
                <w:i w:val="0"/>
                <w:color w:val="1B2A32"/>
                <w:sz w:val="18"/>
              </w:rPr>
              <w:t>12,000</w:t>
            </w:r>
          </w:p>
        </w:tc>
        <w:tc>
          <w:tcPr>
            <w:tcW w:type="dxa" w:w="18720"/>
          </w:tcPr>
          <w:p>
            <w:r/>
            <w:r>
              <w:rPr>
                <w:rFonts w:ascii="Calibri" w:hAnsi="Calibri"/>
                <w:b w:val="0"/>
                <w:i w:val="0"/>
                <w:color w:val="1B2A32"/>
                <w:sz w:val="18"/>
              </w:rPr>
              <w:t>Yes</w:t>
            </w:r>
          </w:p>
        </w:tc>
        <w:tc>
          <w:tcPr>
            <w:tcW w:type="dxa" w:w="25920"/>
          </w:tcPr>
          <w:p>
            <w:r/>
            <w:r>
              <w:rPr>
                <w:rFonts w:ascii="Calibri" w:hAnsi="Calibri"/>
                <w:b w:val="0"/>
                <w:i w:val="0"/>
                <w:color w:val="1B2A32"/>
                <w:sz w:val="18"/>
              </w:rPr>
              <w:t>Cap correct</w:t>
            </w:r>
          </w:p>
        </w:tc>
      </w:tr>
      <w:tr>
        <w:tc>
          <w:tcPr>
            <w:tcW w:type="dxa" w:w="43200"/>
            <w:shd w:val="clear" w:fill="F3F7F9"/>
          </w:tcPr>
          <w:p>
            <w:r/>
            <w:r>
              <w:rPr>
                <w:rFonts w:ascii="Calibri" w:hAnsi="Calibri"/>
                <w:b w:val="0"/>
                <w:i w:val="0"/>
                <w:color w:val="1B2A32"/>
                <w:sz w:val="18"/>
              </w:rPr>
              <w:t>Surgeon's fee</w:t>
            </w:r>
          </w:p>
        </w:tc>
        <w:tc>
          <w:tcPr>
            <w:tcW w:type="dxa" w:w="18720"/>
            <w:shd w:val="clear" w:fill="F3F7F9"/>
          </w:tcPr>
          <w:p>
            <w:r/>
            <w:r>
              <w:rPr>
                <w:rFonts w:ascii="Calibri" w:hAnsi="Calibri"/>
                <w:b w:val="0"/>
                <w:i w:val="0"/>
                <w:color w:val="1B2A32"/>
                <w:sz w:val="18"/>
              </w:rPr>
              <w:t>1,50,000</w:t>
            </w:r>
          </w:p>
        </w:tc>
        <w:tc>
          <w:tcPr>
            <w:tcW w:type="dxa" w:w="18720"/>
            <w:shd w:val="clear" w:fill="F3F7F9"/>
          </w:tcPr>
          <w:p>
            <w:r/>
            <w:r>
              <w:rPr>
                <w:rFonts w:ascii="Calibri" w:hAnsi="Calibri"/>
                <w:b w:val="0"/>
                <w:i w:val="0"/>
                <w:color w:val="1B2A32"/>
                <w:sz w:val="18"/>
              </w:rPr>
              <w:t>93,750</w:t>
            </w:r>
          </w:p>
        </w:tc>
        <w:tc>
          <w:tcPr>
            <w:tcW w:type="dxa" w:w="18720"/>
            <w:shd w:val="clear" w:fill="F3F7F9"/>
          </w:tcPr>
          <w:p>
            <w:r/>
            <w:r>
              <w:rPr>
                <w:rFonts w:ascii="Calibri" w:hAnsi="Calibri"/>
                <w:b w:val="0"/>
                <w:i w:val="0"/>
                <w:color w:val="1B2A32"/>
                <w:sz w:val="18"/>
              </w:rPr>
              <w:t>56,250</w:t>
            </w:r>
          </w:p>
        </w:tc>
        <w:tc>
          <w:tcPr>
            <w:tcW w:type="dxa" w:w="18720"/>
            <w:shd w:val="clear" w:fill="F3F7F9"/>
          </w:tcPr>
          <w:p>
            <w:r/>
            <w:r>
              <w:rPr>
                <w:rFonts w:ascii="Calibri" w:hAnsi="Calibri"/>
                <w:b w:val="0"/>
                <w:i w:val="0"/>
                <w:color w:val="1B2A32"/>
                <w:sz w:val="18"/>
              </w:rPr>
              <w:t>No</w:t>
            </w:r>
          </w:p>
        </w:tc>
        <w:tc>
          <w:tcPr>
            <w:tcW w:type="dxa" w:w="25920"/>
            <w:shd w:val="clear" w:fill="F3F7F9"/>
          </w:tcPr>
          <w:p>
            <w:r/>
            <w:r>
              <w:rPr>
                <w:rFonts w:ascii="Calibri" w:hAnsi="Calibri"/>
                <w:b w:val="0"/>
                <w:i w:val="0"/>
                <w:color w:val="1B2A32"/>
                <w:sz w:val="18"/>
              </w:rPr>
              <w:t>Add back — does not vary with room</w:t>
            </w:r>
          </w:p>
        </w:tc>
      </w:tr>
      <w:tr>
        <w:tc>
          <w:tcPr>
            <w:tcW w:type="dxa" w:w="43200"/>
          </w:tcPr>
          <w:p>
            <w:r/>
            <w:r>
              <w:rPr>
                <w:rFonts w:ascii="Calibri" w:hAnsi="Calibri"/>
                <w:b w:val="0"/>
                <w:i w:val="0"/>
                <w:color w:val="1B2A32"/>
                <w:sz w:val="18"/>
              </w:rPr>
              <w:t>Implant</w:t>
            </w:r>
          </w:p>
        </w:tc>
        <w:tc>
          <w:tcPr>
            <w:tcW w:type="dxa" w:w="18720"/>
          </w:tcPr>
          <w:p>
            <w:r/>
            <w:r>
              <w:rPr>
                <w:rFonts w:ascii="Calibri" w:hAnsi="Calibri"/>
                <w:b w:val="0"/>
                <w:i w:val="0"/>
                <w:color w:val="1B2A32"/>
                <w:sz w:val="18"/>
              </w:rPr>
              <w:t>1,65,000</w:t>
            </w:r>
          </w:p>
        </w:tc>
        <w:tc>
          <w:tcPr>
            <w:tcW w:type="dxa" w:w="18720"/>
          </w:tcPr>
          <w:p>
            <w:r/>
            <w:r>
              <w:rPr>
                <w:rFonts w:ascii="Calibri" w:hAnsi="Calibri"/>
                <w:b w:val="0"/>
                <w:i w:val="0"/>
                <w:color w:val="1B2A32"/>
                <w:sz w:val="18"/>
              </w:rPr>
              <w:t>1,03,125</w:t>
            </w:r>
          </w:p>
        </w:tc>
        <w:tc>
          <w:tcPr>
            <w:tcW w:type="dxa" w:w="18720"/>
          </w:tcPr>
          <w:p>
            <w:r/>
            <w:r>
              <w:rPr>
                <w:rFonts w:ascii="Calibri" w:hAnsi="Calibri"/>
                <w:b w:val="0"/>
                <w:i w:val="0"/>
                <w:color w:val="1B2A32"/>
                <w:sz w:val="18"/>
              </w:rPr>
              <w:t>61,875</w:t>
            </w:r>
          </w:p>
        </w:tc>
        <w:tc>
          <w:tcPr>
            <w:tcW w:type="dxa" w:w="18720"/>
          </w:tcPr>
          <w:p>
            <w:r/>
            <w:r>
              <w:rPr>
                <w:rFonts w:ascii="Calibri" w:hAnsi="Calibri"/>
                <w:b w:val="0"/>
                <w:i w:val="0"/>
                <w:color w:val="1B2A32"/>
                <w:sz w:val="18"/>
              </w:rPr>
              <w:t>No</w:t>
            </w:r>
          </w:p>
        </w:tc>
        <w:tc>
          <w:tcPr>
            <w:tcW w:type="dxa" w:w="25920"/>
          </w:tcPr>
          <w:p>
            <w:r/>
            <w:r>
              <w:rPr>
                <w:rFonts w:ascii="Calibri" w:hAnsi="Calibri"/>
                <w:b w:val="0"/>
                <w:i w:val="0"/>
                <w:color w:val="1B2A32"/>
                <w:sz w:val="18"/>
              </w:rPr>
              <w:t>Add back</w:t>
            </w:r>
          </w:p>
        </w:tc>
      </w:tr>
      <w:tr>
        <w:tc>
          <w:tcPr>
            <w:tcW w:type="dxa" w:w="43200"/>
            <w:shd w:val="clear" w:fill="F3F7F9"/>
          </w:tcPr>
          <w:p>
            <w:r/>
            <w:r>
              <w:rPr>
                <w:rFonts w:ascii="Calibri" w:hAnsi="Calibri"/>
                <w:b w:val="0"/>
                <w:i w:val="0"/>
                <w:color w:val="1B2A32"/>
                <w:sz w:val="18"/>
              </w:rPr>
              <w:t>Investigations</w:t>
            </w:r>
          </w:p>
        </w:tc>
        <w:tc>
          <w:tcPr>
            <w:tcW w:type="dxa" w:w="18720"/>
            <w:shd w:val="clear" w:fill="F3F7F9"/>
          </w:tcPr>
          <w:p>
            <w:r/>
            <w:r>
              <w:rPr>
                <w:rFonts w:ascii="Calibri" w:hAnsi="Calibri"/>
                <w:b w:val="0"/>
                <w:i w:val="0"/>
                <w:color w:val="1B2A32"/>
                <w:sz w:val="18"/>
              </w:rPr>
              <w:t>40,000</w:t>
            </w:r>
          </w:p>
        </w:tc>
        <w:tc>
          <w:tcPr>
            <w:tcW w:type="dxa" w:w="18720"/>
            <w:shd w:val="clear" w:fill="F3F7F9"/>
          </w:tcPr>
          <w:p>
            <w:r/>
            <w:r>
              <w:rPr>
                <w:rFonts w:ascii="Calibri" w:hAnsi="Calibri"/>
                <w:b w:val="0"/>
                <w:i w:val="0"/>
                <w:color w:val="1B2A32"/>
                <w:sz w:val="18"/>
              </w:rPr>
              <w:t>25,000</w:t>
            </w:r>
          </w:p>
        </w:tc>
        <w:tc>
          <w:tcPr>
            <w:tcW w:type="dxa" w:w="18720"/>
            <w:shd w:val="clear" w:fill="F3F7F9"/>
          </w:tcPr>
          <w:p>
            <w:r/>
            <w:r>
              <w:rPr>
                <w:rFonts w:ascii="Calibri" w:hAnsi="Calibri"/>
                <w:b w:val="0"/>
                <w:i w:val="0"/>
                <w:color w:val="1B2A32"/>
                <w:sz w:val="18"/>
              </w:rPr>
              <w:t>15,000</w:t>
            </w:r>
          </w:p>
        </w:tc>
        <w:tc>
          <w:tcPr>
            <w:tcW w:type="dxa" w:w="18720"/>
            <w:shd w:val="clear" w:fill="F3F7F9"/>
          </w:tcPr>
          <w:p>
            <w:r/>
            <w:r>
              <w:rPr>
                <w:rFonts w:ascii="Calibri" w:hAnsi="Calibri"/>
                <w:b w:val="0"/>
                <w:i w:val="0"/>
                <w:color w:val="1B2A32"/>
                <w:sz w:val="18"/>
              </w:rPr>
              <w:t>No</w:t>
            </w:r>
          </w:p>
        </w:tc>
        <w:tc>
          <w:tcPr>
            <w:tcW w:type="dxa" w:w="25920"/>
            <w:shd w:val="clear" w:fill="F3F7F9"/>
          </w:tcPr>
          <w:p>
            <w:r/>
            <w:r>
              <w:rPr>
                <w:rFonts w:ascii="Calibri" w:hAnsi="Calibri"/>
                <w:b w:val="0"/>
                <w:i w:val="0"/>
                <w:color w:val="1B2A32"/>
                <w:sz w:val="18"/>
              </w:rPr>
              <w:t>Add back</w:t>
            </w:r>
          </w:p>
        </w:tc>
      </w:tr>
      <w:tr>
        <w:tc>
          <w:tcPr>
            <w:tcW w:type="dxa" w:w="43200"/>
          </w:tcPr>
          <w:p>
            <w:r/>
            <w:r>
              <w:rPr>
                <w:rFonts w:ascii="Calibri" w:hAnsi="Calibri"/>
                <w:b w:val="0"/>
                <w:i w:val="0"/>
                <w:color w:val="1B2A32"/>
                <w:sz w:val="18"/>
              </w:rPr>
              <w:t>Nursing</w:t>
            </w:r>
          </w:p>
        </w:tc>
        <w:tc>
          <w:tcPr>
            <w:tcW w:type="dxa" w:w="18720"/>
          </w:tcPr>
          <w:p>
            <w:r/>
            <w:r>
              <w:rPr>
                <w:rFonts w:ascii="Calibri" w:hAnsi="Calibri"/>
                <w:b w:val="0"/>
                <w:i w:val="0"/>
                <w:color w:val="1B2A32"/>
                <w:sz w:val="18"/>
              </w:rPr>
              <w:t>18,000</w:t>
            </w:r>
          </w:p>
        </w:tc>
        <w:tc>
          <w:tcPr>
            <w:tcW w:type="dxa" w:w="18720"/>
          </w:tcPr>
          <w:p>
            <w:r/>
            <w:r>
              <w:rPr>
                <w:rFonts w:ascii="Calibri" w:hAnsi="Calibri"/>
                <w:b w:val="0"/>
                <w:i w:val="0"/>
                <w:color w:val="1B2A32"/>
                <w:sz w:val="18"/>
              </w:rPr>
              <w:t>11,250</w:t>
            </w:r>
          </w:p>
        </w:tc>
        <w:tc>
          <w:tcPr>
            <w:tcW w:type="dxa" w:w="18720"/>
          </w:tcPr>
          <w:p>
            <w:r/>
            <w:r>
              <w:rPr>
                <w:rFonts w:ascii="Calibri" w:hAnsi="Calibri"/>
                <w:b w:val="0"/>
                <w:i w:val="0"/>
                <w:color w:val="1B2A32"/>
                <w:sz w:val="18"/>
              </w:rPr>
              <w:t>6,750</w:t>
            </w:r>
          </w:p>
        </w:tc>
        <w:tc>
          <w:tcPr>
            <w:tcW w:type="dxa" w:w="18720"/>
          </w:tcPr>
          <w:p>
            <w:r/>
            <w:r>
              <w:rPr>
                <w:rFonts w:ascii="Calibri" w:hAnsi="Calibri"/>
                <w:b w:val="0"/>
                <w:i w:val="0"/>
                <w:color w:val="1B2A32"/>
                <w:sz w:val="18"/>
              </w:rPr>
              <w:t>Yes</w:t>
            </w:r>
          </w:p>
        </w:tc>
        <w:tc>
          <w:tcPr>
            <w:tcW w:type="dxa" w:w="25920"/>
          </w:tcPr>
          <w:p>
            <w:r/>
            <w:r>
              <w:rPr>
                <w:rFonts w:ascii="Calibri" w:hAnsi="Calibri"/>
                <w:b w:val="0"/>
                <w:i w:val="0"/>
                <w:color w:val="1B2A32"/>
                <w:sz w:val="18"/>
              </w:rPr>
              <w:t>Proportionate — correct</w:t>
            </w:r>
          </w:p>
        </w:tc>
      </w:tr>
      <w:tr>
        <w:tc>
          <w:tcPr>
            <w:tcW w:type="dxa" w:w="43200"/>
            <w:shd w:val="clear" w:fill="F3F7F9"/>
          </w:tcPr>
          <w:p>
            <w:r/>
            <w:r>
              <w:rPr>
                <w:rFonts w:ascii="Calibri" w:hAnsi="Calibri"/>
                <w:b w:val="0"/>
                <w:i w:val="0"/>
                <w:color w:val="1B2A32"/>
                <w:sz w:val="18"/>
              </w:rPr>
              <w:t>Consumables</w:t>
            </w:r>
          </w:p>
        </w:tc>
        <w:tc>
          <w:tcPr>
            <w:tcW w:type="dxa" w:w="18720"/>
            <w:shd w:val="clear" w:fill="F3F7F9"/>
          </w:tcPr>
          <w:p>
            <w:r/>
            <w:r>
              <w:rPr>
                <w:rFonts w:ascii="Calibri" w:hAnsi="Calibri"/>
                <w:b w:val="0"/>
                <w:i w:val="0"/>
                <w:color w:val="1B2A32"/>
                <w:sz w:val="18"/>
              </w:rPr>
              <w:t>12,000</w:t>
            </w:r>
          </w:p>
        </w:tc>
        <w:tc>
          <w:tcPr>
            <w:tcW w:type="dxa" w:w="18720"/>
            <w:shd w:val="clear" w:fill="F3F7F9"/>
          </w:tcPr>
          <w:p>
            <w:r/>
            <w:r>
              <w:rPr>
                <w:rFonts w:ascii="Calibri" w:hAnsi="Calibri"/>
                <w:b w:val="0"/>
                <w:i w:val="0"/>
                <w:color w:val="1B2A32"/>
                <w:sz w:val="18"/>
              </w:rPr>
              <w:t>0</w:t>
            </w:r>
          </w:p>
        </w:tc>
        <w:tc>
          <w:tcPr>
            <w:tcW w:type="dxa" w:w="18720"/>
            <w:shd w:val="clear" w:fill="F3F7F9"/>
          </w:tcPr>
          <w:p>
            <w:r/>
            <w:r>
              <w:rPr>
                <w:rFonts w:ascii="Calibri" w:hAnsi="Calibri"/>
                <w:b w:val="0"/>
                <w:i w:val="0"/>
                <w:color w:val="1B2A32"/>
                <w:sz w:val="18"/>
              </w:rPr>
              <w:t>12,000</w:t>
            </w:r>
          </w:p>
        </w:tc>
        <w:tc>
          <w:tcPr>
            <w:tcW w:type="dxa" w:w="18720"/>
            <w:shd w:val="clear" w:fill="F3F7F9"/>
          </w:tcPr>
          <w:p>
            <w:r/>
            <w:r>
              <w:rPr>
                <w:rFonts w:ascii="Calibri" w:hAnsi="Calibri"/>
                <w:b w:val="0"/>
                <w:i w:val="0"/>
                <w:color w:val="1B2A32"/>
                <w:sz w:val="18"/>
              </w:rPr>
              <w:t>No</w:t>
            </w:r>
          </w:p>
        </w:tc>
        <w:tc>
          <w:tcPr>
            <w:tcW w:type="dxa" w:w="25920"/>
            <w:shd w:val="clear" w:fill="F3F7F9"/>
          </w:tcPr>
          <w:p>
            <w:r/>
            <w:r>
              <w:rPr>
                <w:rFonts w:ascii="Calibri" w:hAnsi="Calibri"/>
                <w:b w:val="0"/>
                <w:i w:val="0"/>
                <w:color w:val="1B2A32"/>
                <w:sz w:val="18"/>
              </w:rPr>
              <w:t>Argue item by item</w:t>
            </w:r>
          </w:p>
        </w:tc>
      </w:tr>
      <w:tr>
        <w:tc>
          <w:tcPr>
            <w:tcW w:type="dxa" w:w="43200"/>
          </w:tcPr>
          <w:p>
            <w:r/>
            <w:r>
              <w:rPr>
                <w:rFonts w:ascii="Calibri" w:hAnsi="Calibri"/>
                <w:b w:val="0"/>
                <w:i w:val="0"/>
                <w:color w:val="1B2A32"/>
                <w:sz w:val="18"/>
              </w:rPr>
              <w:t>Pharmacy</w:t>
            </w:r>
          </w:p>
        </w:tc>
        <w:tc>
          <w:tcPr>
            <w:tcW w:type="dxa" w:w="18720"/>
          </w:tcPr>
          <w:p>
            <w:r/>
            <w:r>
              <w:rPr>
                <w:rFonts w:ascii="Calibri" w:hAnsi="Calibri"/>
                <w:b w:val="0"/>
                <w:i w:val="0"/>
                <w:color w:val="1B2A32"/>
                <w:sz w:val="18"/>
              </w:rPr>
              <w:t>83,000</w:t>
            </w:r>
          </w:p>
        </w:tc>
        <w:tc>
          <w:tcPr>
            <w:tcW w:type="dxa" w:w="18720"/>
          </w:tcPr>
          <w:p>
            <w:r/>
            <w:r>
              <w:rPr>
                <w:rFonts w:ascii="Calibri" w:hAnsi="Calibri"/>
                <w:b w:val="0"/>
                <w:i w:val="0"/>
                <w:color w:val="1B2A32"/>
                <w:sz w:val="18"/>
              </w:rPr>
              <w:t>56,000</w:t>
            </w:r>
          </w:p>
        </w:tc>
        <w:tc>
          <w:tcPr>
            <w:tcW w:type="dxa" w:w="18720"/>
          </w:tcPr>
          <w:p>
            <w:r/>
            <w:r>
              <w:rPr>
                <w:rFonts w:ascii="Calibri" w:hAnsi="Calibri"/>
                <w:b w:val="0"/>
                <w:i w:val="0"/>
                <w:color w:val="1B2A32"/>
                <w:sz w:val="18"/>
              </w:rPr>
              <w:t>27,000</w:t>
            </w:r>
          </w:p>
        </w:tc>
        <w:tc>
          <w:tcPr>
            <w:tcW w:type="dxa" w:w="18720"/>
          </w:tcPr>
          <w:p>
            <w:r/>
            <w:r>
              <w:rPr>
                <w:rFonts w:ascii="Calibri" w:hAnsi="Calibri"/>
                <w:b w:val="0"/>
                <w:i w:val="0"/>
                <w:color w:val="1B2A32"/>
                <w:sz w:val="18"/>
              </w:rPr>
              <w:t>No</w:t>
            </w:r>
          </w:p>
        </w:tc>
        <w:tc>
          <w:tcPr>
            <w:tcW w:type="dxa" w:w="25920"/>
          </w:tcPr>
          <w:p>
            <w:r/>
            <w:r>
              <w:rPr>
                <w:rFonts w:ascii="Calibri" w:hAnsi="Calibri"/>
                <w:b w:val="0"/>
                <w:i w:val="0"/>
                <w:color w:val="1B2A32"/>
                <w:sz w:val="18"/>
              </w:rPr>
              <w:t>Partly integral — argue</w:t>
            </w:r>
          </w:p>
        </w:tc>
      </w:tr>
      <w:tr>
        <w:tc>
          <w:tcPr>
            <w:tcW w:type="dxa" w:w="43200"/>
            <w:shd w:val="clear" w:fill="F3F7F9"/>
          </w:tcPr>
          <w:p>
            <w:r/>
            <w:r>
              <w:rPr>
                <w:rFonts w:ascii="Calibri" w:hAnsi="Calibri"/>
                <w:b w:val="0"/>
                <w:i w:val="0"/>
                <w:color w:val="1B2A32"/>
                <w:sz w:val="18"/>
              </w:rPr>
              <w:t>TOTAL</w:t>
            </w:r>
          </w:p>
        </w:tc>
        <w:tc>
          <w:tcPr>
            <w:tcW w:type="dxa" w:w="18720"/>
            <w:shd w:val="clear" w:fill="F3F7F9"/>
          </w:tcPr>
          <w:p>
            <w:r/>
            <w:r>
              <w:rPr>
                <w:rFonts w:ascii="Calibri" w:hAnsi="Calibri"/>
                <w:b w:val="0"/>
                <w:i w:val="0"/>
                <w:color w:val="1B2A32"/>
                <w:sz w:val="18"/>
              </w:rPr>
              <w:t>5,00,000</w:t>
            </w:r>
          </w:p>
        </w:tc>
        <w:tc>
          <w:tcPr>
            <w:tcW w:type="dxa" w:w="18720"/>
            <w:shd w:val="clear" w:fill="F3F7F9"/>
          </w:tcPr>
          <w:p>
            <w:r/>
            <w:r>
              <w:rPr>
                <w:rFonts w:ascii="Calibri" w:hAnsi="Calibri"/>
                <w:b w:val="0"/>
                <w:i w:val="0"/>
                <w:color w:val="1B2A32"/>
                <w:sz w:val="18"/>
              </w:rPr>
              <w:t>3,09,250</w:t>
            </w:r>
          </w:p>
        </w:tc>
        <w:tc>
          <w:tcPr>
            <w:tcW w:type="dxa" w:w="18720"/>
            <w:shd w:val="clear" w:fill="F3F7F9"/>
          </w:tcPr>
          <w:p>
            <w:r/>
            <w:r>
              <w:rPr>
                <w:rFonts w:ascii="Calibri" w:hAnsi="Calibri"/>
                <w:b w:val="0"/>
                <w:i w:val="0"/>
                <w:color w:val="1B2A32"/>
                <w:sz w:val="18"/>
              </w:rPr>
              <w:t>1,90,750</w:t>
            </w:r>
          </w:p>
        </w:tc>
        <w:tc>
          <w:tcPr>
            <w:tcW w:type="dxa" w:w="18720"/>
            <w:shd w:val="clear" w:fill="F3F7F9"/>
          </w:tcPr>
          <w:p>
            <w:r/>
          </w:p>
        </w:tc>
        <w:tc>
          <w:tcPr>
            <w:tcW w:type="dxa" w:w="25920"/>
            <w:shd w:val="clear" w:fill="F3F7F9"/>
          </w:tcPr>
          <w:p>
            <w:r/>
          </w:p>
        </w:tc>
      </w:tr>
    </w:tbl>
    <w:p>
      <w:pPr>
        <w:spacing w:after="40"/>
      </w:pPr>
    </w:p>
    <w:p>
      <w:pPr>
        <w:spacing w:after="120"/>
        <w:jc w:val="both"/>
      </w:pPr>
      <w:r>
        <w:rPr>
          <w:rFonts w:ascii="Calibri" w:hAnsi="Calibri"/>
          <w:b/>
          <w:i w:val="0"/>
          <w:color w:val="1B2A32"/>
          <w:sz w:val="21"/>
        </w:rPr>
        <w:t>Proportionality wrongly applied</w:t>
      </w:r>
      <w:r>
        <w:rPr>
          <w:rFonts w:ascii="Calibri" w:hAnsi="Calibri"/>
          <w:b w:val="0"/>
          <w:i w:val="0"/>
          <w:color w:val="1B2A32"/>
          <w:sz w:val="21"/>
        </w:rPr>
        <w:t xml:space="preserve"> to surgeon, implant and investigations = ₹1,33,125 to argue for first. Add the consumables/pharmacy arguments and the continuity point (cover since 2019, so the 36-month PED waiting period was complete: 81 months elapsed), and the settlement lands around ₹3.9 lakh plus reinstatement with continuity, in one session — against ₹1.1 lakh first offered.</w:t>
      </w:r>
    </w:p>
    <w:p>
      <w:pPr>
        <w:keepNext/>
        <w:spacing w:before="200" w:after="60"/>
      </w:pPr>
      <w:r>
        <w:rPr>
          <w:rFonts w:ascii="Calibri" w:hAnsi="Calibri"/>
          <w:b/>
          <w:i w:val="0"/>
          <w:color w:val="1E7A8C"/>
          <w:sz w:val="25"/>
        </w:rPr>
        <w:t>5.2  5.2  Motor — the non-standard settlement</w:t>
      </w:r>
    </w:p>
    <w:p>
      <w:pPr>
        <w:spacing w:after="120"/>
        <w:jc w:val="both"/>
      </w:pPr>
      <w:r>
        <w:rPr>
          <w:rFonts w:ascii="Calibri" w:hAnsi="Calibri"/>
          <w:b w:val="0"/>
          <w:i w:val="0"/>
          <w:color w:val="1B2A32"/>
          <w:sz w:val="21"/>
        </w:rPr>
        <w:t xml:space="preserve">Assessed own-damage loss ₹3,62,000 after depreciation and excess. Repudiation for an expired licence with no nexus to the collision. On *Amalendu Sahoo*, the market outcome is a </w:t>
      </w:r>
      <w:r>
        <w:rPr>
          <w:rFonts w:ascii="Calibri" w:hAnsi="Calibri"/>
          <w:b/>
          <w:i w:val="0"/>
          <w:color w:val="1B2A32"/>
          <w:sz w:val="21"/>
        </w:rPr>
        <w:t>non-standard settlement at 75%</w:t>
      </w:r>
      <w:r>
        <w:rPr>
          <w:rFonts w:ascii="Calibri" w:hAnsi="Calibri"/>
          <w:b w:val="0"/>
          <w:i w:val="0"/>
          <w:color w:val="1B2A32"/>
          <w:sz w:val="21"/>
        </w:rPr>
        <w:t xml:space="preserve"> = </w:t>
      </w:r>
      <w:r>
        <w:rPr>
          <w:rFonts w:ascii="Calibri" w:hAnsi="Calibri"/>
          <w:b/>
          <w:i w:val="0"/>
          <w:color w:val="1B2A32"/>
          <w:sz w:val="21"/>
        </w:rPr>
        <w:t>₹2,71,500</w:t>
      </w:r>
      <w:r>
        <w:rPr>
          <w:rFonts w:ascii="Calibri" w:hAnsi="Calibri"/>
          <w:b w:val="0"/>
          <w:i w:val="0"/>
          <w:color w:val="1B2A32"/>
          <w:sz w:val="21"/>
        </w:rPr>
        <w:t xml:space="preserve"> — reached in forty minutes, against a repudiation of the whole claim.</w:t>
      </w:r>
    </w:p>
    <w:p>
      <w:pPr>
        <w:keepNext/>
        <w:spacing w:before="200" w:after="60"/>
      </w:pPr>
      <w:r>
        <w:rPr>
          <w:rFonts w:ascii="Calibri" w:hAnsi="Calibri"/>
          <w:b/>
          <w:i w:val="0"/>
          <w:color w:val="1E7A8C"/>
          <w:sz w:val="25"/>
        </w:rPr>
        <w:t>5.3  5.3  Commercial property — underinsurance and average</w:t>
      </w:r>
    </w:p>
    <w:tbl>
      <w:tblPr>
        <w:tblStyle w:val="TableGrid"/>
        <w:tblW w:type="auto" w:w="0"/>
        <w:jc w:val="center"/>
        <w:tblLook w:firstColumn="1" w:firstRow="1" w:lastColumn="0" w:lastRow="0" w:noHBand="0" w:noVBand="1" w:val="04A0"/>
      </w:tblPr>
      <w:tblGrid>
        <w:gridCol w:w="4752"/>
        <w:gridCol w:w="4752"/>
      </w:tblGrid>
      <w:tr>
        <w:tc>
          <w:tcPr>
            <w:tcW w:type="dxa" w:w="86400"/>
            <w:shd w:val="clear" w:fill="123B4F"/>
          </w:tcPr>
          <w:p>
            <w:r/>
            <w:r>
              <w:rPr>
                <w:rFonts w:ascii="Calibri" w:hAnsi="Calibri"/>
                <w:b/>
                <w:i w:val="0"/>
                <w:color w:val="FFFFFF"/>
                <w:sz w:val="18"/>
              </w:rPr>
              <w:t>Item</w:t>
            </w:r>
          </w:p>
        </w:tc>
        <w:tc>
          <w:tcPr>
            <w:tcW w:type="dxa" w:w="57600"/>
            <w:shd w:val="clear" w:fill="123B4F"/>
          </w:tcPr>
          <w:p>
            <w:r/>
            <w:r>
              <w:rPr>
                <w:rFonts w:ascii="Calibri" w:hAnsi="Calibri"/>
                <w:b/>
                <w:i w:val="0"/>
                <w:color w:val="FFFFFF"/>
                <w:sz w:val="18"/>
              </w:rPr>
              <w:t>Figure (₹)</w:t>
            </w:r>
          </w:p>
        </w:tc>
      </w:tr>
      <w:tr>
        <w:tc>
          <w:tcPr>
            <w:tcW w:type="dxa" w:w="86400"/>
          </w:tcPr>
          <w:p>
            <w:r/>
            <w:r>
              <w:rPr>
                <w:rFonts w:ascii="Calibri" w:hAnsi="Calibri"/>
                <w:b w:val="0"/>
                <w:i w:val="0"/>
                <w:color w:val="1B2A32"/>
                <w:sz w:val="18"/>
              </w:rPr>
              <w:t>Sum insured</w:t>
            </w:r>
          </w:p>
        </w:tc>
        <w:tc>
          <w:tcPr>
            <w:tcW w:type="dxa" w:w="57600"/>
          </w:tcPr>
          <w:p>
            <w:r/>
            <w:r>
              <w:rPr>
                <w:rFonts w:ascii="Calibri" w:hAnsi="Calibri"/>
                <w:b w:val="0"/>
                <w:i w:val="0"/>
                <w:color w:val="1B2A32"/>
                <w:sz w:val="18"/>
              </w:rPr>
              <w:t>2,00,00,000</w:t>
            </w:r>
          </w:p>
        </w:tc>
      </w:tr>
      <w:tr>
        <w:tc>
          <w:tcPr>
            <w:tcW w:type="dxa" w:w="86400"/>
            <w:shd w:val="clear" w:fill="F3F7F9"/>
          </w:tcPr>
          <w:p>
            <w:r/>
            <w:r>
              <w:rPr>
                <w:rFonts w:ascii="Calibri" w:hAnsi="Calibri"/>
                <w:b w:val="0"/>
                <w:i w:val="0"/>
                <w:color w:val="1B2A32"/>
                <w:sz w:val="18"/>
              </w:rPr>
              <w:t>Value at risk at loss</w:t>
            </w:r>
          </w:p>
        </w:tc>
        <w:tc>
          <w:tcPr>
            <w:tcW w:type="dxa" w:w="57600"/>
            <w:shd w:val="clear" w:fill="F3F7F9"/>
          </w:tcPr>
          <w:p>
            <w:r/>
            <w:r>
              <w:rPr>
                <w:rFonts w:ascii="Calibri" w:hAnsi="Calibri"/>
                <w:b w:val="0"/>
                <w:i w:val="0"/>
                <w:color w:val="1B2A32"/>
                <w:sz w:val="18"/>
              </w:rPr>
              <w:t>3,20,00,000</w:t>
            </w:r>
          </w:p>
        </w:tc>
      </w:tr>
      <w:tr>
        <w:tc>
          <w:tcPr>
            <w:tcW w:type="dxa" w:w="86400"/>
          </w:tcPr>
          <w:p>
            <w:r/>
            <w:r>
              <w:rPr>
                <w:rFonts w:ascii="Calibri" w:hAnsi="Calibri"/>
                <w:b w:val="0"/>
                <w:i w:val="0"/>
                <w:color w:val="1B2A32"/>
                <w:sz w:val="18"/>
              </w:rPr>
              <w:t>Adequacy (SI / value)</w:t>
            </w:r>
          </w:p>
        </w:tc>
        <w:tc>
          <w:tcPr>
            <w:tcW w:type="dxa" w:w="57600"/>
          </w:tcPr>
          <w:p>
            <w:r/>
            <w:r>
              <w:rPr>
                <w:rFonts w:ascii="Calibri" w:hAnsi="Calibri"/>
                <w:b w:val="0"/>
                <w:i w:val="0"/>
                <w:color w:val="1B2A32"/>
                <w:sz w:val="18"/>
              </w:rPr>
              <w:t>62.5%</w:t>
            </w:r>
          </w:p>
        </w:tc>
      </w:tr>
      <w:tr>
        <w:tc>
          <w:tcPr>
            <w:tcW w:type="dxa" w:w="86400"/>
            <w:shd w:val="clear" w:fill="F3F7F9"/>
          </w:tcPr>
          <w:p>
            <w:r/>
            <w:r>
              <w:rPr>
                <w:rFonts w:ascii="Calibri" w:hAnsi="Calibri"/>
                <w:b w:val="0"/>
                <w:i w:val="0"/>
                <w:color w:val="1B2A32"/>
                <w:sz w:val="18"/>
              </w:rPr>
              <w:t>Gross assessed loss</w:t>
            </w:r>
          </w:p>
        </w:tc>
        <w:tc>
          <w:tcPr>
            <w:tcW w:type="dxa" w:w="57600"/>
            <w:shd w:val="clear" w:fill="F3F7F9"/>
          </w:tcPr>
          <w:p>
            <w:r/>
            <w:r>
              <w:rPr>
                <w:rFonts w:ascii="Calibri" w:hAnsi="Calibri"/>
                <w:b w:val="0"/>
                <w:i w:val="0"/>
                <w:color w:val="1B2A32"/>
                <w:sz w:val="18"/>
              </w:rPr>
              <w:t>84,00,000</w:t>
            </w:r>
          </w:p>
        </w:tc>
      </w:tr>
      <w:tr>
        <w:tc>
          <w:tcPr>
            <w:tcW w:type="dxa" w:w="86400"/>
          </w:tcPr>
          <w:p>
            <w:r/>
            <w:r>
              <w:rPr>
                <w:rFonts w:ascii="Calibri" w:hAnsi="Calibri"/>
                <w:b w:val="0"/>
                <w:i w:val="0"/>
                <w:color w:val="1B2A32"/>
                <w:sz w:val="18"/>
              </w:rPr>
              <w:t>Less depreciation/betterment</w:t>
            </w:r>
          </w:p>
        </w:tc>
        <w:tc>
          <w:tcPr>
            <w:tcW w:type="dxa" w:w="57600"/>
          </w:tcPr>
          <w:p>
            <w:r/>
            <w:r>
              <w:rPr>
                <w:rFonts w:ascii="Calibri" w:hAnsi="Calibri"/>
                <w:b w:val="0"/>
                <w:i w:val="0"/>
                <w:color w:val="1B2A32"/>
                <w:sz w:val="18"/>
              </w:rPr>
              <w:t>6,20,000</w:t>
            </w:r>
          </w:p>
        </w:tc>
      </w:tr>
      <w:tr>
        <w:tc>
          <w:tcPr>
            <w:tcW w:type="dxa" w:w="86400"/>
            <w:shd w:val="clear" w:fill="F3F7F9"/>
          </w:tcPr>
          <w:p>
            <w:r/>
            <w:r>
              <w:rPr>
                <w:rFonts w:ascii="Calibri" w:hAnsi="Calibri"/>
                <w:b w:val="0"/>
                <w:i w:val="0"/>
                <w:color w:val="1B2A32"/>
                <w:sz w:val="18"/>
              </w:rPr>
              <w:t>Net assessed loss</w:t>
            </w:r>
          </w:p>
        </w:tc>
        <w:tc>
          <w:tcPr>
            <w:tcW w:type="dxa" w:w="57600"/>
            <w:shd w:val="clear" w:fill="F3F7F9"/>
          </w:tcPr>
          <w:p>
            <w:r/>
            <w:r>
              <w:rPr>
                <w:rFonts w:ascii="Calibri" w:hAnsi="Calibri"/>
                <w:b w:val="0"/>
                <w:i w:val="0"/>
                <w:color w:val="1B2A32"/>
                <w:sz w:val="18"/>
              </w:rPr>
              <w:t>77,80,000</w:t>
            </w:r>
          </w:p>
        </w:tc>
      </w:tr>
      <w:tr>
        <w:tc>
          <w:tcPr>
            <w:tcW w:type="dxa" w:w="86400"/>
          </w:tcPr>
          <w:p>
            <w:r/>
            <w:r>
              <w:rPr>
                <w:rFonts w:ascii="Calibri" w:hAnsi="Calibri"/>
                <w:b w:val="0"/>
                <w:i w:val="0"/>
                <w:color w:val="1B2A32"/>
                <w:sz w:val="18"/>
              </w:rPr>
              <w:t>Average applied (37.5% shortfall)</w:t>
            </w:r>
          </w:p>
        </w:tc>
        <w:tc>
          <w:tcPr>
            <w:tcW w:type="dxa" w:w="57600"/>
          </w:tcPr>
          <w:p>
            <w:r/>
            <w:r>
              <w:rPr>
                <w:rFonts w:ascii="Calibri" w:hAnsi="Calibri"/>
                <w:b w:val="0"/>
                <w:i w:val="0"/>
                <w:color w:val="1B2A32"/>
                <w:sz w:val="18"/>
              </w:rPr>
              <w:t>29,17,500</w:t>
            </w:r>
          </w:p>
        </w:tc>
      </w:tr>
      <w:tr>
        <w:tc>
          <w:tcPr>
            <w:tcW w:type="dxa" w:w="86400"/>
            <w:shd w:val="clear" w:fill="F3F7F9"/>
          </w:tcPr>
          <w:p>
            <w:r/>
            <w:r>
              <w:rPr>
                <w:rFonts w:ascii="Calibri" w:hAnsi="Calibri"/>
                <w:b w:val="0"/>
                <w:i w:val="0"/>
                <w:color w:val="1B2A32"/>
                <w:sz w:val="18"/>
              </w:rPr>
              <w:t>Less deductible</w:t>
            </w:r>
          </w:p>
        </w:tc>
        <w:tc>
          <w:tcPr>
            <w:tcW w:type="dxa" w:w="57600"/>
            <w:shd w:val="clear" w:fill="F3F7F9"/>
          </w:tcPr>
          <w:p>
            <w:r/>
            <w:r>
              <w:rPr>
                <w:rFonts w:ascii="Calibri" w:hAnsi="Calibri"/>
                <w:b w:val="0"/>
                <w:i w:val="0"/>
                <w:color w:val="1B2A32"/>
                <w:sz w:val="18"/>
              </w:rPr>
              <w:t>2,50,000</w:t>
            </w:r>
          </w:p>
        </w:tc>
      </w:tr>
      <w:tr>
        <w:tc>
          <w:tcPr>
            <w:tcW w:type="dxa" w:w="86400"/>
          </w:tcPr>
          <w:p>
            <w:r/>
            <w:r>
              <w:rPr>
                <w:rFonts w:ascii="Calibri" w:hAnsi="Calibri"/>
                <w:b w:val="0"/>
                <w:i w:val="0"/>
                <w:color w:val="1B2A32"/>
                <w:sz w:val="18"/>
              </w:rPr>
              <w:t>Net payable after average</w:t>
            </w:r>
          </w:p>
        </w:tc>
        <w:tc>
          <w:tcPr>
            <w:tcW w:type="dxa" w:w="57600"/>
          </w:tcPr>
          <w:p>
            <w:r/>
            <w:r>
              <w:rPr>
                <w:rFonts w:ascii="Calibri" w:hAnsi="Calibri"/>
                <w:b w:val="0"/>
                <w:i w:val="0"/>
                <w:color w:val="1B2A32"/>
                <w:sz w:val="18"/>
              </w:rPr>
              <w:t>46,12,500</w:t>
            </w:r>
          </w:p>
        </w:tc>
      </w:tr>
    </w:tbl>
    <w:p>
      <w:pPr>
        <w:spacing w:after="40"/>
      </w:pPr>
    </w:p>
    <w:p>
      <w:pPr>
        <w:spacing w:after="120"/>
        <w:jc w:val="both"/>
      </w:pPr>
      <w:r>
        <w:rPr>
          <w:rFonts w:ascii="Calibri" w:hAnsi="Calibri"/>
          <w:b w:val="0"/>
          <w:i w:val="0"/>
          <w:color w:val="1B2A32"/>
          <w:sz w:val="21"/>
        </w:rPr>
        <w:t xml:space="preserve">The lever: the </w:t>
      </w:r>
      <w:r>
        <w:rPr>
          <w:rFonts w:ascii="Calibri" w:hAnsi="Calibri"/>
          <w:b/>
          <w:i w:val="0"/>
          <w:color w:val="1B2A32"/>
          <w:sz w:val="21"/>
        </w:rPr>
        <w:t>value at risk</w:t>
      </w:r>
      <w:r>
        <w:rPr>
          <w:rFonts w:ascii="Calibri" w:hAnsi="Calibri"/>
          <w:b w:val="0"/>
          <w:i w:val="0"/>
          <w:color w:val="1B2A32"/>
          <w:sz w:val="21"/>
        </w:rPr>
        <w:t xml:space="preserve"> and its basis. If the parties agree a value at risk 10% lower (₹2.88 crore, adequacy ≈ 69%), the average deduction falls and the net payable rises to roughly ₹53.6 lakh — the single most productive move in an underinsurance mediation, and the reason to bring the broker into the room.</w:t>
      </w:r>
    </w:p>
    <w:p>
      <w:pPr>
        <w:keepNext/>
        <w:spacing w:before="200" w:after="60"/>
      </w:pPr>
      <w:r>
        <w:rPr>
          <w:rFonts w:ascii="Calibri" w:hAnsi="Calibri"/>
          <w:b/>
          <w:i w:val="0"/>
          <w:color w:val="1E7A8C"/>
          <w:sz w:val="25"/>
        </w:rPr>
        <w:t>5.4  5.4  Delay interest under the IRDAI regime</w:t>
      </w:r>
    </w:p>
    <w:p>
      <w:pPr>
        <w:spacing w:after="120"/>
        <w:jc w:val="both"/>
      </w:pPr>
      <w:r>
        <w:rPr>
          <w:rFonts w:ascii="Calibri" w:hAnsi="Calibri"/>
          <w:b w:val="0"/>
          <w:i w:val="0"/>
          <w:color w:val="1B2A32"/>
          <w:sz w:val="21"/>
        </w:rPr>
        <w:t xml:space="preserve">Admitted claim ₹6,00,000, settled 78 days after the last document, i.e. 48 days late. At (illustratively) a bank rate of 6.5% + 2% = 8.5% per annum, interest ≈ ₹6,00,000 × 8.5% × 48/365 ≈ </w:t>
      </w:r>
      <w:r>
        <w:rPr>
          <w:rFonts w:ascii="Calibri" w:hAnsi="Calibri"/>
          <w:b/>
          <w:i w:val="0"/>
          <w:color w:val="1B2A32"/>
          <w:sz w:val="21"/>
        </w:rPr>
        <w:t>₹6,707</w:t>
      </w:r>
      <w:r>
        <w:rPr>
          <w:rFonts w:ascii="Calibri" w:hAnsi="Calibri"/>
          <w:b w:val="0"/>
          <w:i w:val="0"/>
          <w:color w:val="1B2A32"/>
          <w:sz w:val="21"/>
        </w:rPr>
        <w:t>, plus any hospital charge caused by a cashless-authorisation delay. Small in itself, but it converts 'you were slow' into a specific, conceded number. [verify — current bank rate.]</w:t>
      </w:r>
    </w:p>
    <w:p>
      <w:pPr>
        <w:keepNext/>
        <w:spacing w:before="200" w:after="60"/>
      </w:pPr>
      <w:r>
        <w:rPr>
          <w:rFonts w:ascii="Calibri" w:hAnsi="Calibri"/>
          <w:b/>
          <w:i w:val="0"/>
          <w:color w:val="1E7A8C"/>
          <w:sz w:val="25"/>
        </w:rPr>
        <w:t>5.5  5.5  Life — the section 45 arithmetic</w:t>
      </w:r>
    </w:p>
    <w:p>
      <w:pPr>
        <w:spacing w:after="120"/>
        <w:jc w:val="both"/>
      </w:pPr>
      <w:r>
        <w:rPr>
          <w:rFonts w:ascii="Calibri" w:hAnsi="Calibri"/>
          <w:b w:val="0"/>
          <w:i w:val="0"/>
          <w:color w:val="1B2A32"/>
          <w:sz w:val="21"/>
        </w:rPr>
        <w:t xml:space="preserve">Policy issued 2016; lapsed; </w:t>
      </w:r>
      <w:r>
        <w:rPr>
          <w:rFonts w:ascii="Calibri" w:hAnsi="Calibri"/>
          <w:b/>
          <w:i w:val="0"/>
          <w:color w:val="1B2A32"/>
          <w:sz w:val="21"/>
        </w:rPr>
        <w:t>revived 11 months before death</w:t>
      </w:r>
      <w:r>
        <w:rPr>
          <w:rFonts w:ascii="Calibri" w:hAnsi="Calibri"/>
          <w:b w:val="0"/>
          <w:i w:val="0"/>
          <w:color w:val="1B2A32"/>
          <w:sz w:val="21"/>
        </w:rPr>
        <w:t xml:space="preserve"> in 2026 on a non-disclosure of hypertension. The revival resets the section 45 clock, so the insurer is *inside* the window and may raise the ground — but the repudiation letter did not enclose the materials the section requires. Once that procedural gap is on the table, the insurer settles rather than defend the procedure before the Ombudsman.</w:t>
      </w:r>
    </w:p>
    <w:p>
      <w:r>
        <w:br w:type="page"/>
      </w:r>
    </w:p>
    <w:p>
      <w:pPr>
        <w:keepNext/>
        <w:spacing w:before="280" w:after="120"/>
        <w:pBdr>
          <w:bottom w:val="single" w:sz="12" w:space="3" w:color="C6A15B"/>
        </w:pBdr>
      </w:pPr>
      <w:r>
        <w:rPr>
          <w:rFonts w:ascii="Calibri" w:hAnsi="Calibri"/>
          <w:b/>
          <w:i w:val="0"/>
          <w:color w:val="123B4F"/>
          <w:sz w:val="32"/>
        </w:rPr>
        <w:t>6.  Part 6 — Decision trees</w:t>
      </w:r>
    </w:p>
    <w:p>
      <w:pPr>
        <w:spacing w:after="120"/>
        <w:jc w:val="both"/>
      </w:pPr>
      <w:r>
        <w:rPr>
          <w:rFonts w:ascii="Calibri" w:hAnsi="Calibri"/>
          <w:b w:val="0"/>
          <w:i w:val="0"/>
          <w:color w:val="1B2A32"/>
          <w:sz w:val="21"/>
        </w:rPr>
        <w:t>The routing and analysis logic in compact form. The AI Dispute Explorer implements these; the case-manager uses them at triage.</w:t>
      </w:r>
    </w:p>
    <w:p>
      <w:pPr>
        <w:keepNext/>
        <w:spacing w:before="200" w:after="60"/>
      </w:pPr>
      <w:r>
        <w:rPr>
          <w:rFonts w:ascii="Calibri" w:hAnsi="Calibri"/>
          <w:b/>
          <w:i w:val="0"/>
          <w:color w:val="1E7A8C"/>
          <w:sz w:val="25"/>
        </w:rPr>
        <w:t>6.1  6.1  Master route decision</w:t>
      </w:r>
    </w:p>
    <w:p>
      <w:pPr>
        <w:pStyle w:val="ListNumber"/>
        <w:spacing w:after="60"/>
        <w:jc w:val="both"/>
      </w:pPr>
      <w:r>
        <w:rPr>
          <w:rFonts w:ascii="Calibri" w:hAnsi="Calibri"/>
          <w:b w:val="0"/>
          <w:i w:val="0"/>
          <w:color w:val="1B2A32"/>
          <w:sz w:val="21"/>
        </w:rPr>
        <w:t xml:space="preserve">Is it a </w:t>
      </w:r>
      <w:r>
        <w:rPr>
          <w:rFonts w:ascii="Calibri" w:hAnsi="Calibri"/>
          <w:b/>
          <w:i w:val="0"/>
          <w:color w:val="1B2A32"/>
          <w:sz w:val="21"/>
        </w:rPr>
        <w:t>third-party motor injury/death</w:t>
      </w:r>
      <w:r>
        <w:rPr>
          <w:rFonts w:ascii="Calibri" w:hAnsi="Calibri"/>
          <w:b w:val="0"/>
          <w:i w:val="0"/>
          <w:color w:val="1B2A32"/>
          <w:sz w:val="21"/>
        </w:rPr>
        <w:t xml:space="preserve"> claim? → Motor Accidents Claims Tribunal. Stop.</w:t>
      </w:r>
    </w:p>
    <w:p>
      <w:pPr>
        <w:pStyle w:val="ListNumber"/>
        <w:spacing w:after="60"/>
        <w:jc w:val="both"/>
      </w:pPr>
      <w:r>
        <w:rPr>
          <w:rFonts w:ascii="Calibri" w:hAnsi="Calibri"/>
          <w:b w:val="0"/>
          <w:i w:val="0"/>
          <w:color w:val="1B2A32"/>
          <w:sz w:val="21"/>
        </w:rPr>
        <w:t xml:space="preserve">Is it an </w:t>
      </w:r>
      <w:r>
        <w:rPr>
          <w:rFonts w:ascii="Calibri" w:hAnsi="Calibri"/>
          <w:b/>
          <w:i w:val="0"/>
          <w:color w:val="1B2A32"/>
          <w:sz w:val="21"/>
        </w:rPr>
        <w:t>employment-injury</w:t>
      </w:r>
      <w:r>
        <w:rPr>
          <w:rFonts w:ascii="Calibri" w:hAnsi="Calibri"/>
          <w:b w:val="0"/>
          <w:i w:val="0"/>
          <w:color w:val="1B2A32"/>
          <w:sz w:val="21"/>
        </w:rPr>
        <w:t xml:space="preserve"> claim? → Commissioner for Employees' Compensation. Stop.</w:t>
      </w:r>
    </w:p>
    <w:p>
      <w:pPr>
        <w:pStyle w:val="ListNumber"/>
        <w:spacing w:after="60"/>
        <w:jc w:val="both"/>
      </w:pPr>
      <w:r>
        <w:rPr>
          <w:rFonts w:ascii="Calibri" w:hAnsi="Calibri"/>
          <w:b w:val="0"/>
          <w:i w:val="0"/>
          <w:color w:val="1B2A32"/>
          <w:sz w:val="21"/>
        </w:rPr>
        <w:t xml:space="preserve">Is it a </w:t>
      </w:r>
      <w:r>
        <w:rPr>
          <w:rFonts w:ascii="Calibri" w:hAnsi="Calibri"/>
          <w:b/>
          <w:i w:val="0"/>
          <w:color w:val="1B2A32"/>
          <w:sz w:val="21"/>
        </w:rPr>
        <w:t>government health/crop scheme</w:t>
      </w:r>
      <w:r>
        <w:rPr>
          <w:rFonts w:ascii="Calibri" w:hAnsi="Calibri"/>
          <w:b w:val="0"/>
          <w:i w:val="0"/>
          <w:color w:val="1B2A32"/>
          <w:sz w:val="21"/>
        </w:rPr>
        <w:t xml:space="preserve"> (PM-JAY, State scheme, PMFBY, RWBCIS)? → the scheme's own grievance ladder, not the Ombudsman.</w:t>
      </w:r>
    </w:p>
    <w:p>
      <w:pPr>
        <w:pStyle w:val="ListNumber"/>
        <w:spacing w:after="60"/>
        <w:jc w:val="both"/>
      </w:pPr>
      <w:r>
        <w:rPr>
          <w:rFonts w:ascii="Calibri" w:hAnsi="Calibri"/>
          <w:b w:val="0"/>
          <w:i w:val="0"/>
          <w:color w:val="1B2A32"/>
          <w:sz w:val="21"/>
        </w:rPr>
        <w:t xml:space="preserve">Otherwise, is the policy </w:t>
      </w:r>
      <w:r>
        <w:rPr>
          <w:rFonts w:ascii="Calibri" w:hAnsi="Calibri"/>
          <w:b/>
          <w:i w:val="0"/>
          <w:color w:val="1B2A32"/>
          <w:sz w:val="21"/>
        </w:rPr>
        <w:t>retail or commercial</w:t>
      </w:r>
      <w:r>
        <w:rPr>
          <w:rFonts w:ascii="Calibri" w:hAnsi="Calibri"/>
          <w:b w:val="0"/>
          <w:i w:val="0"/>
          <w:color w:val="1B2A32"/>
          <w:sz w:val="21"/>
        </w:rPr>
        <w:t>? Retail → grievance → Ombudsman → consumer commission (never arbitration). Commercial → mediation → arbitration only if separately agreed → civil court.</w:t>
      </w:r>
    </w:p>
    <w:p>
      <w:pPr>
        <w:pStyle w:val="ListNumber"/>
        <w:spacing w:after="60"/>
        <w:jc w:val="both"/>
      </w:pPr>
      <w:r>
        <w:rPr>
          <w:rFonts w:ascii="Calibri" w:hAnsi="Calibri"/>
          <w:b w:val="0"/>
          <w:i w:val="0"/>
          <w:color w:val="1B2A32"/>
          <w:sz w:val="21"/>
        </w:rPr>
        <w:t>In every case, mediation at Equator runs in parallel and the statutory clocks are computed and owned.</w:t>
      </w:r>
    </w:p>
    <w:p>
      <w:pPr>
        <w:keepNext/>
        <w:spacing w:before="200" w:after="60"/>
      </w:pPr>
      <w:r>
        <w:rPr>
          <w:rFonts w:ascii="Calibri" w:hAnsi="Calibri"/>
          <w:b/>
          <w:i w:val="0"/>
          <w:color w:val="1E7A8C"/>
          <w:sz w:val="25"/>
        </w:rPr>
        <w:t>6.2  6.2  Repudiation analysis</w:t>
      </w:r>
    </w:p>
    <w:p>
      <w:pPr>
        <w:pStyle w:val="ListNumber"/>
        <w:spacing w:after="60"/>
        <w:jc w:val="both"/>
      </w:pPr>
      <w:r>
        <w:rPr>
          <w:rFonts w:ascii="Calibri" w:hAnsi="Calibri"/>
          <w:b w:val="0"/>
          <w:i w:val="0"/>
          <w:color w:val="1B2A32"/>
          <w:sz w:val="21"/>
        </w:rPr>
        <w:t xml:space="preserve">Is the ground stated </w:t>
      </w:r>
      <w:r>
        <w:rPr>
          <w:rFonts w:ascii="Calibri" w:hAnsi="Calibri"/>
          <w:b/>
          <w:i w:val="0"/>
          <w:color w:val="1B2A32"/>
          <w:sz w:val="21"/>
        </w:rPr>
        <w:t>in writing with reasons</w:t>
      </w:r>
      <w:r>
        <w:rPr>
          <w:rFonts w:ascii="Calibri" w:hAnsi="Calibri"/>
          <w:b w:val="0"/>
          <w:i w:val="0"/>
          <w:color w:val="1B2A32"/>
          <w:sz w:val="21"/>
        </w:rPr>
        <w:t>? If not, demand a reasoned repudiation letter first.</w:t>
      </w:r>
    </w:p>
    <w:p>
      <w:pPr>
        <w:pStyle w:val="ListNumber"/>
        <w:spacing w:after="60"/>
        <w:jc w:val="both"/>
      </w:pPr>
      <w:r>
        <w:rPr>
          <w:rFonts w:ascii="Calibri" w:hAnsi="Calibri"/>
          <w:b w:val="0"/>
          <w:i w:val="0"/>
          <w:color w:val="1B2A32"/>
          <w:sz w:val="21"/>
        </w:rPr>
        <w:t>Classify the ground: non-disclosure / exclusion / delay / condition breach / proximate cause / documents.</w:t>
      </w:r>
    </w:p>
    <w:p>
      <w:pPr>
        <w:pStyle w:val="ListNumber"/>
        <w:spacing w:after="60"/>
        <w:jc w:val="both"/>
      </w:pPr>
      <w:r>
        <w:rPr>
          <w:rFonts w:ascii="Calibri" w:hAnsi="Calibri"/>
          <w:b w:val="0"/>
          <w:i w:val="0"/>
          <w:color w:val="1B2A32"/>
          <w:sz w:val="21"/>
        </w:rPr>
        <w:t xml:space="preserve">Apply the </w:t>
      </w:r>
      <w:r>
        <w:rPr>
          <w:rFonts w:ascii="Calibri" w:hAnsi="Calibri"/>
          <w:b/>
          <w:i w:val="0"/>
          <w:color w:val="1B2A32"/>
          <w:sz w:val="21"/>
        </w:rPr>
        <w:t>four tests</w:t>
      </w:r>
      <w:r>
        <w:rPr>
          <w:rFonts w:ascii="Calibri" w:hAnsi="Calibri"/>
          <w:b w:val="0"/>
          <w:i w:val="0"/>
          <w:color w:val="1B2A32"/>
          <w:sz w:val="21"/>
        </w:rPr>
        <w:t xml:space="preserve"> to each ground: materiality · proximate cause · contra proferentem · fair dealing.</w:t>
      </w:r>
    </w:p>
    <w:p>
      <w:pPr>
        <w:pStyle w:val="ListNumber"/>
        <w:spacing w:after="60"/>
        <w:jc w:val="both"/>
      </w:pPr>
      <w:r>
        <w:rPr>
          <w:rFonts w:ascii="Calibri" w:hAnsi="Calibri"/>
          <w:b w:val="0"/>
          <w:i w:val="0"/>
          <w:color w:val="1B2A32"/>
          <w:sz w:val="21"/>
        </w:rPr>
        <w:t xml:space="preserve">For life, run the </w:t>
      </w:r>
      <w:r>
        <w:rPr>
          <w:rFonts w:ascii="Calibri" w:hAnsi="Calibri"/>
          <w:b/>
          <w:i w:val="0"/>
          <w:color w:val="1B2A32"/>
          <w:sz w:val="21"/>
        </w:rPr>
        <w:t>section 45 date chain</w:t>
      </w:r>
      <w:r>
        <w:rPr>
          <w:rFonts w:ascii="Calibri" w:hAnsi="Calibri"/>
          <w:b w:val="0"/>
          <w:i w:val="0"/>
          <w:color w:val="1B2A32"/>
          <w:sz w:val="21"/>
        </w:rPr>
        <w:t xml:space="preserve"> (issue / risk / revival / rider) and check the procedure.</w:t>
      </w:r>
    </w:p>
    <w:p>
      <w:pPr>
        <w:pStyle w:val="ListNumber"/>
        <w:spacing w:after="60"/>
        <w:jc w:val="both"/>
      </w:pPr>
      <w:r>
        <w:rPr>
          <w:rFonts w:ascii="Calibri" w:hAnsi="Calibri"/>
          <w:b w:val="0"/>
          <w:i w:val="0"/>
          <w:color w:val="1B2A32"/>
          <w:sz w:val="21"/>
        </w:rPr>
        <w:t xml:space="preserve">For a condition breach, ask the </w:t>
      </w:r>
      <w:r>
        <w:rPr>
          <w:rFonts w:ascii="Calibri" w:hAnsi="Calibri"/>
          <w:b/>
          <w:i w:val="0"/>
          <w:color w:val="1B2A32"/>
          <w:sz w:val="21"/>
        </w:rPr>
        <w:t>nexus</w:t>
      </w:r>
      <w:r>
        <w:rPr>
          <w:rFonts w:ascii="Calibri" w:hAnsi="Calibri"/>
          <w:b w:val="0"/>
          <w:i w:val="0"/>
          <w:color w:val="1B2A32"/>
          <w:sz w:val="21"/>
        </w:rPr>
        <w:t xml:space="preserve"> question; if none, price the </w:t>
      </w:r>
      <w:r>
        <w:rPr>
          <w:rFonts w:ascii="Calibri" w:hAnsi="Calibri"/>
          <w:b/>
          <w:i w:val="0"/>
          <w:color w:val="1B2A32"/>
          <w:sz w:val="21"/>
        </w:rPr>
        <w:t>non-standard settlement</w:t>
      </w:r>
      <w:r>
        <w:rPr>
          <w:rFonts w:ascii="Calibri" w:hAnsi="Calibri"/>
          <w:b w:val="0"/>
          <w:i w:val="0"/>
          <w:color w:val="1B2A32"/>
          <w:sz w:val="21"/>
        </w:rPr>
        <w:t>.</w:t>
      </w:r>
    </w:p>
    <w:p>
      <w:pPr>
        <w:pStyle w:val="ListNumber"/>
        <w:spacing w:after="60"/>
        <w:jc w:val="both"/>
      </w:pPr>
      <w:r>
        <w:rPr>
          <w:rFonts w:ascii="Calibri" w:hAnsi="Calibri"/>
          <w:b w:val="0"/>
          <w:i w:val="0"/>
          <w:color w:val="1B2A32"/>
          <w:sz w:val="21"/>
        </w:rPr>
        <w:t xml:space="preserve">Compute the </w:t>
      </w:r>
      <w:r>
        <w:rPr>
          <w:rFonts w:ascii="Calibri" w:hAnsi="Calibri"/>
          <w:b/>
          <w:i w:val="0"/>
          <w:color w:val="1B2A32"/>
          <w:sz w:val="21"/>
        </w:rPr>
        <w:t>delay interest</w:t>
      </w:r>
      <w:r>
        <w:rPr>
          <w:rFonts w:ascii="Calibri" w:hAnsi="Calibri"/>
          <w:b w:val="0"/>
          <w:i w:val="0"/>
          <w:color w:val="1B2A32"/>
          <w:sz w:val="21"/>
        </w:rPr>
        <w:t xml:space="preserve"> if settlement ran beyond the IRDAI turnaround.</w:t>
      </w:r>
    </w:p>
    <w:p>
      <w:pPr>
        <w:pStyle w:val="ListNumber"/>
        <w:spacing w:after="60"/>
        <w:jc w:val="both"/>
      </w:pPr>
      <w:r>
        <w:rPr>
          <w:rFonts w:ascii="Calibri" w:hAnsi="Calibri"/>
          <w:b w:val="0"/>
          <w:i w:val="0"/>
          <w:color w:val="1B2A32"/>
          <w:sz w:val="21"/>
        </w:rPr>
        <w:t>Route to the correct forum, preserve the clocks, and mediate the settleable elements.</w:t>
      </w:r>
    </w:p>
    <w:p>
      <w:pPr>
        <w:keepNext/>
        <w:spacing w:before="200" w:after="60"/>
      </w:pPr>
      <w:r>
        <w:rPr>
          <w:rFonts w:ascii="Calibri" w:hAnsi="Calibri"/>
          <w:b/>
          <w:i w:val="0"/>
          <w:color w:val="1E7A8C"/>
          <w:sz w:val="25"/>
        </w:rPr>
        <w:t>6.3  6.3  Quantum analysis</w:t>
      </w:r>
    </w:p>
    <w:p>
      <w:pPr>
        <w:pStyle w:val="ListNumber"/>
        <w:spacing w:after="60"/>
        <w:jc w:val="both"/>
      </w:pPr>
      <w:r>
        <w:rPr>
          <w:rFonts w:ascii="Calibri" w:hAnsi="Calibri"/>
          <w:b w:val="0"/>
          <w:i w:val="0"/>
          <w:color w:val="1B2A32"/>
          <w:sz w:val="21"/>
        </w:rPr>
        <w:t xml:space="preserve">Build the </w:t>
      </w:r>
      <w:r>
        <w:rPr>
          <w:rFonts w:ascii="Calibri" w:hAnsi="Calibri"/>
          <w:b/>
          <w:i w:val="0"/>
          <w:color w:val="1B2A32"/>
          <w:sz w:val="21"/>
        </w:rPr>
        <w:t>line-item schedule</w:t>
      </w:r>
      <w:r>
        <w:rPr>
          <w:rFonts w:ascii="Calibri" w:hAnsi="Calibri"/>
          <w:b w:val="0"/>
          <w:i w:val="0"/>
          <w:color w:val="1B2A32"/>
          <w:sz w:val="21"/>
        </w:rPr>
        <w:t xml:space="preserve"> (health/motor) or the </w:t>
      </w:r>
      <w:r>
        <w:rPr>
          <w:rFonts w:ascii="Calibri" w:hAnsi="Calibri"/>
          <w:b/>
          <w:i w:val="0"/>
          <w:color w:val="1B2A32"/>
          <w:sz w:val="21"/>
        </w:rPr>
        <w:t>survey-vs-claim schedule</w:t>
      </w:r>
      <w:r>
        <w:rPr>
          <w:rFonts w:ascii="Calibri" w:hAnsi="Calibri"/>
          <w:b w:val="0"/>
          <w:i w:val="0"/>
          <w:color w:val="1B2A32"/>
          <w:sz w:val="21"/>
        </w:rPr>
        <w:t xml:space="preserve"> (commercial).</w:t>
      </w:r>
    </w:p>
    <w:p>
      <w:pPr>
        <w:pStyle w:val="ListNumber"/>
        <w:spacing w:after="60"/>
        <w:jc w:val="both"/>
      </w:pPr>
      <w:r>
        <w:rPr>
          <w:rFonts w:ascii="Calibri" w:hAnsi="Calibri"/>
          <w:b w:val="0"/>
          <w:i w:val="0"/>
          <w:color w:val="1B2A32"/>
          <w:sz w:val="21"/>
        </w:rPr>
        <w:t xml:space="preserve">For health, mark each head </w:t>
      </w:r>
      <w:r>
        <w:rPr>
          <w:rFonts w:ascii="Calibri" w:hAnsi="Calibri"/>
          <w:b/>
          <w:i w:val="0"/>
          <w:color w:val="1B2A32"/>
          <w:sz w:val="21"/>
        </w:rPr>
        <w:t>varies-with-room? yes/no</w:t>
      </w:r>
      <w:r>
        <w:rPr>
          <w:rFonts w:ascii="Calibri" w:hAnsi="Calibri"/>
          <w:b w:val="0"/>
          <w:i w:val="0"/>
          <w:color w:val="1B2A32"/>
          <w:sz w:val="21"/>
        </w:rPr>
        <w:t>; add back proportionality wrongly applied to 'no' heads; check co-pay ordering.</w:t>
      </w:r>
    </w:p>
    <w:p>
      <w:pPr>
        <w:pStyle w:val="ListNumber"/>
        <w:spacing w:after="60"/>
        <w:jc w:val="both"/>
      </w:pPr>
      <w:r>
        <w:rPr>
          <w:rFonts w:ascii="Calibri" w:hAnsi="Calibri"/>
          <w:b w:val="0"/>
          <w:i w:val="0"/>
          <w:color w:val="1B2A32"/>
          <w:sz w:val="21"/>
        </w:rPr>
        <w:t xml:space="preserve">For commercial, test </w:t>
      </w:r>
      <w:r>
        <w:rPr>
          <w:rFonts w:ascii="Calibri" w:hAnsi="Calibri"/>
          <w:b/>
          <w:i w:val="0"/>
          <w:color w:val="1B2A32"/>
          <w:sz w:val="21"/>
        </w:rPr>
        <w:t>underinsurance/average</w:t>
      </w:r>
      <w:r>
        <w:rPr>
          <w:rFonts w:ascii="Calibri" w:hAnsi="Calibri"/>
          <w:b w:val="0"/>
          <w:i w:val="0"/>
          <w:color w:val="1B2A32"/>
          <w:sz w:val="21"/>
        </w:rPr>
        <w:t xml:space="preserve">, the </w:t>
      </w:r>
      <w:r>
        <w:rPr>
          <w:rFonts w:ascii="Calibri" w:hAnsi="Calibri"/>
          <w:b/>
          <w:i w:val="0"/>
          <w:color w:val="1B2A32"/>
          <w:sz w:val="21"/>
        </w:rPr>
        <w:t>basis of indemnity</w:t>
      </w:r>
      <w:r>
        <w:rPr>
          <w:rFonts w:ascii="Calibri" w:hAnsi="Calibri"/>
          <w:b w:val="0"/>
          <w:i w:val="0"/>
          <w:color w:val="1B2A32"/>
          <w:sz w:val="21"/>
        </w:rPr>
        <w:t>, and depreciation/betterment.</w:t>
      </w:r>
    </w:p>
    <w:p>
      <w:pPr>
        <w:pStyle w:val="ListNumber"/>
        <w:spacing w:after="60"/>
        <w:jc w:val="both"/>
      </w:pPr>
      <w:r>
        <w:rPr>
          <w:rFonts w:ascii="Calibri" w:hAnsi="Calibri"/>
          <w:b w:val="0"/>
          <w:i w:val="0"/>
          <w:color w:val="1B2A32"/>
          <w:sz w:val="21"/>
        </w:rPr>
        <w:t xml:space="preserve">For BI, instruct a </w:t>
      </w:r>
      <w:r>
        <w:rPr>
          <w:rFonts w:ascii="Calibri" w:hAnsi="Calibri"/>
          <w:b/>
          <w:i w:val="0"/>
          <w:color w:val="1B2A32"/>
          <w:sz w:val="21"/>
        </w:rPr>
        <w:t>joint forensic accountant</w:t>
      </w:r>
      <w:r>
        <w:rPr>
          <w:rFonts w:ascii="Calibri" w:hAnsi="Calibri"/>
          <w:b w:val="0"/>
          <w:i w:val="0"/>
          <w:color w:val="1B2A32"/>
          <w:sz w:val="21"/>
        </w:rPr>
        <w:t xml:space="preserve"> on the indemnity period and gross-profit rate.</w:t>
      </w:r>
    </w:p>
    <w:p>
      <w:pPr>
        <w:pStyle w:val="ListNumber"/>
        <w:spacing w:after="60"/>
        <w:jc w:val="both"/>
      </w:pPr>
      <w:r>
        <w:rPr>
          <w:rFonts w:ascii="Calibri" w:hAnsi="Calibri"/>
          <w:b w:val="0"/>
          <w:i w:val="0"/>
          <w:color w:val="1B2A32"/>
          <w:sz w:val="21"/>
        </w:rPr>
        <w:t xml:space="preserve">Identify the </w:t>
      </w:r>
      <w:r>
        <w:rPr>
          <w:rFonts w:ascii="Calibri" w:hAnsi="Calibri"/>
          <w:b/>
          <w:i w:val="0"/>
          <w:color w:val="1B2A32"/>
          <w:sz w:val="21"/>
        </w:rPr>
        <w:t>non-monetary levers</w:t>
      </w:r>
      <w:r>
        <w:rPr>
          <w:rFonts w:ascii="Calibri" w:hAnsi="Calibri"/>
          <w:b w:val="0"/>
          <w:i w:val="0"/>
          <w:color w:val="1B2A32"/>
          <w:sz w:val="21"/>
        </w:rPr>
        <w:t xml:space="preserve"> (continuity, record correction, reinstatement, conversion).</w:t>
      </w:r>
    </w:p>
    <w:p>
      <w:pPr>
        <w:pStyle w:val="ListNumber"/>
        <w:spacing w:after="60"/>
        <w:jc w:val="both"/>
      </w:pPr>
      <w:r>
        <w:rPr>
          <w:rFonts w:ascii="Calibri" w:hAnsi="Calibri"/>
          <w:b w:val="0"/>
          <w:i w:val="0"/>
          <w:color w:val="1B2A32"/>
          <w:sz w:val="21"/>
        </w:rPr>
        <w:t xml:space="preserve">Assemble a </w:t>
      </w:r>
      <w:r>
        <w:rPr>
          <w:rFonts w:ascii="Calibri" w:hAnsi="Calibri"/>
          <w:b/>
          <w:i w:val="0"/>
          <w:color w:val="1B2A32"/>
          <w:sz w:val="21"/>
        </w:rPr>
        <w:t>package</w:t>
      </w:r>
      <w:r>
        <w:rPr>
          <w:rFonts w:ascii="Calibri" w:hAnsi="Calibri"/>
          <w:b w:val="0"/>
          <w:i w:val="0"/>
          <w:color w:val="1B2A32"/>
          <w:sz w:val="21"/>
        </w:rPr>
        <w:t>, not a price.</w:t>
      </w:r>
    </w:p>
    <w:p>
      <w:pPr>
        <w:keepNext/>
        <w:spacing w:before="280" w:after="120"/>
        <w:pBdr>
          <w:bottom w:val="single" w:sz="12" w:space="3" w:color="C6A15B"/>
        </w:pBdr>
      </w:pPr>
      <w:r>
        <w:rPr>
          <w:rFonts w:ascii="Calibri" w:hAnsi="Calibri"/>
          <w:b/>
          <w:i w:val="0"/>
          <w:color w:val="123B4F"/>
          <w:sz w:val="32"/>
        </w:rPr>
        <w:t>7.  Part 7 — Table of authorities (verified July 2026)</w:t>
      </w:r>
    </w:p>
    <w:tbl>
      <w:tblPr>
        <w:tblW w:type="auto" w:w="0"/>
        <w:jc w:val="center"/>
        <w:tblLook w:firstColumn="1" w:firstRow="1" w:lastColumn="0" w:lastRow="0" w:noHBand="0" w:noVBand="1" w:val="04A0"/>
      </w:tblPr>
      <w:tblGrid>
        <w:gridCol w:w="9504"/>
      </w:tblGrid>
      <w:tr>
        <w:tc>
          <w:tcPr>
            <w:tcW w:type="dxa" w:w="9360"/>
            <w:shd w:val="clear" w:fill="F6E0E4"/>
            <w:tcBorders>
              <w:start w:val="single" w:sz="22" w:space="0" w:color="B23A48"/>
            </w:tcBorders>
          </w:tcPr>
          <w:p>
            <w:r>
              <w:rPr>
                <w:rFonts w:ascii="Calibri" w:hAnsi="Calibri"/>
                <w:b/>
                <w:i w:val="0"/>
                <w:color w:val="B23A48"/>
                <w:sz w:val="18"/>
              </w:rPr>
              <w:t>HOW TO USE THIS TABLE</w:t>
            </w:r>
          </w:p>
          <w:p>
            <w:r>
              <w:rPr>
                <w:rFonts w:ascii="Calibri" w:hAnsi="Calibri"/>
                <w:b w:val="0"/>
                <w:i w:val="0"/>
                <w:color w:val="1B2A32"/>
                <w:sz w:val="19"/>
              </w:rPr>
              <w:t xml:space="preserve">These are genuine authorities located by research, not illustrative names. </w:t>
            </w:r>
            <w:r>
              <w:rPr>
                <w:rFonts w:ascii="Calibri" w:hAnsi="Calibri"/>
                <w:b/>
                <w:i w:val="0"/>
                <w:color w:val="1B2A32"/>
                <w:sz w:val="19"/>
              </w:rPr>
              <w:t>Pinpoint citations (volume, page, paragraph) must be confirmed by counsel against the official reporter before they are relied on in correspondence</w:t>
            </w:r>
            <w:r>
              <w:rPr>
                <w:rFonts w:ascii="Calibri" w:hAnsi="Calibri"/>
                <w:b w:val="0"/>
                <w:i w:val="0"/>
                <w:color w:val="1B2A32"/>
                <w:sz w:val="19"/>
              </w:rPr>
              <w:t>, and are marked [verify] where not confirmed at the time of writing. Neutrals do not cite these to decide a claim — they use them to frame the questions the parties must answer.</w:t>
            </w:r>
          </w:p>
        </w:tc>
      </w:tr>
    </w:tbl>
    <w:p>
      <w:pPr>
        <w:spacing w:after="40"/>
      </w:pPr>
    </w:p>
    <w:tbl>
      <w:tblPr>
        <w:tblStyle w:val="TableGrid"/>
        <w:tblW w:type="auto" w:w="0"/>
        <w:jc w:val="center"/>
        <w:tblLook w:firstColumn="1" w:firstRow="1" w:lastColumn="0" w:lastRow="0" w:noHBand="0" w:noVBand="1" w:val="04A0"/>
      </w:tblPr>
      <w:tblGrid>
        <w:gridCol w:w="3168"/>
        <w:gridCol w:w="3168"/>
        <w:gridCol w:w="3168"/>
      </w:tblGrid>
      <w:tr>
        <w:tc>
          <w:tcPr>
            <w:tcW w:type="dxa" w:w="34560"/>
            <w:shd w:val="clear" w:fill="123B4F"/>
          </w:tcPr>
          <w:p>
            <w:r/>
            <w:r>
              <w:rPr>
                <w:rFonts w:ascii="Calibri" w:hAnsi="Calibri"/>
                <w:b/>
                <w:i w:val="0"/>
                <w:color w:val="FFFFFF"/>
                <w:sz w:val="18"/>
              </w:rPr>
              <w:t>Doctrine</w:t>
            </w:r>
          </w:p>
        </w:tc>
        <w:tc>
          <w:tcPr>
            <w:tcW w:type="dxa" w:w="48960"/>
            <w:shd w:val="clear" w:fill="123B4F"/>
          </w:tcPr>
          <w:p>
            <w:r/>
            <w:r>
              <w:rPr>
                <w:rFonts w:ascii="Calibri" w:hAnsi="Calibri"/>
                <w:b/>
                <w:i w:val="0"/>
                <w:color w:val="FFFFFF"/>
                <w:sz w:val="18"/>
              </w:rPr>
              <w:t>Authority</w:t>
            </w:r>
          </w:p>
        </w:tc>
        <w:tc>
          <w:tcPr>
            <w:tcW w:type="dxa" w:w="60480"/>
            <w:shd w:val="clear" w:fill="123B4F"/>
          </w:tcPr>
          <w:p>
            <w:r/>
            <w:r>
              <w:rPr>
                <w:rFonts w:ascii="Calibri" w:hAnsi="Calibri"/>
                <w:b/>
                <w:i w:val="0"/>
                <w:color w:val="FFFFFF"/>
                <w:sz w:val="18"/>
              </w:rPr>
              <w:t>Proposition</w:t>
            </w:r>
          </w:p>
        </w:tc>
      </w:tr>
      <w:tr>
        <w:tc>
          <w:tcPr>
            <w:tcW w:type="dxa" w:w="34560"/>
          </w:tcPr>
          <w:p>
            <w:r/>
            <w:r>
              <w:rPr>
                <w:rFonts w:ascii="Calibri" w:hAnsi="Calibri"/>
                <w:b w:val="0"/>
                <w:i w:val="0"/>
                <w:color w:val="1B2A32"/>
                <w:sz w:val="18"/>
              </w:rPr>
              <w:t>Materiality / s.45</w:t>
            </w:r>
          </w:p>
        </w:tc>
        <w:tc>
          <w:tcPr>
            <w:tcW w:type="dxa" w:w="48960"/>
          </w:tcPr>
          <w:p>
            <w:r/>
            <w:r>
              <w:rPr>
                <w:rFonts w:ascii="Calibri" w:hAnsi="Calibri"/>
                <w:b w:val="0"/>
                <w:i w:val="0"/>
                <w:color w:val="1B2A32"/>
                <w:sz w:val="18"/>
              </w:rPr>
              <w:t>*Mithoolal Nayak v. LIC*, AIR 1962 SC 814 [verify]</w:t>
            </w:r>
          </w:p>
        </w:tc>
        <w:tc>
          <w:tcPr>
            <w:tcW w:type="dxa" w:w="60480"/>
          </w:tcPr>
          <w:p>
            <w:r/>
            <w:r>
              <w:rPr>
                <w:rFonts w:ascii="Calibri" w:hAnsi="Calibri"/>
                <w:b w:val="0"/>
                <w:i w:val="0"/>
                <w:color w:val="1B2A32"/>
                <w:sz w:val="18"/>
              </w:rPr>
              <w:t>Materiality judged by influence on a prudent insurer; insurer's burden to prove suppression</w:t>
            </w:r>
          </w:p>
        </w:tc>
      </w:tr>
      <w:tr>
        <w:tc>
          <w:tcPr>
            <w:tcW w:type="dxa" w:w="34560"/>
            <w:shd w:val="clear" w:fill="F3F7F9"/>
          </w:tcPr>
          <w:p>
            <w:r/>
            <w:r>
              <w:rPr>
                <w:rFonts w:ascii="Calibri" w:hAnsi="Calibri"/>
                <w:b w:val="0"/>
                <w:i w:val="0"/>
                <w:color w:val="1B2A32"/>
                <w:sz w:val="18"/>
              </w:rPr>
              <w:t>Non-disclosure — burden &amp; ambiguity</w:t>
            </w:r>
          </w:p>
        </w:tc>
        <w:tc>
          <w:tcPr>
            <w:tcW w:type="dxa" w:w="48960"/>
            <w:shd w:val="clear" w:fill="F3F7F9"/>
          </w:tcPr>
          <w:p>
            <w:r/>
            <w:r>
              <w:rPr>
                <w:rFonts w:ascii="Calibri" w:hAnsi="Calibri"/>
                <w:b w:val="0"/>
                <w:i w:val="0"/>
                <w:color w:val="1B2A32"/>
                <w:sz w:val="18"/>
              </w:rPr>
              <w:t>*Reliance Life Insurance v. Rekhaben Nareshbhai Rathod*, (2019) 6 SCC 175 [verify]</w:t>
            </w:r>
          </w:p>
        </w:tc>
        <w:tc>
          <w:tcPr>
            <w:tcW w:type="dxa" w:w="60480"/>
            <w:shd w:val="clear" w:fill="F3F7F9"/>
          </w:tcPr>
          <w:p>
            <w:r/>
            <w:r>
              <w:rPr>
                <w:rFonts w:ascii="Calibri" w:hAnsi="Calibri"/>
                <w:b w:val="0"/>
                <w:i w:val="0"/>
                <w:color w:val="1B2A32"/>
                <w:sz w:val="18"/>
              </w:rPr>
              <w:t>Insurer must prove non-disclosure; ambiguous disclosure requirements read contra proferentem</w:t>
            </w:r>
          </w:p>
        </w:tc>
      </w:tr>
      <w:tr>
        <w:tc>
          <w:tcPr>
            <w:tcW w:type="dxa" w:w="34560"/>
          </w:tcPr>
          <w:p>
            <w:r/>
            <w:r>
              <w:rPr>
                <w:rFonts w:ascii="Calibri" w:hAnsi="Calibri"/>
                <w:b w:val="0"/>
                <w:i w:val="0"/>
                <w:color w:val="1B2A32"/>
                <w:sz w:val="18"/>
              </w:rPr>
              <w:t>Contra proferentem</w:t>
            </w:r>
          </w:p>
        </w:tc>
        <w:tc>
          <w:tcPr>
            <w:tcW w:type="dxa" w:w="48960"/>
          </w:tcPr>
          <w:p>
            <w:r/>
            <w:r>
              <w:rPr>
                <w:rFonts w:ascii="Calibri" w:hAnsi="Calibri"/>
                <w:b w:val="0"/>
                <w:i w:val="0"/>
                <w:color w:val="1B2A32"/>
                <w:sz w:val="18"/>
              </w:rPr>
              <w:t>*United India Insurance v. Orient Treasures (P) Ltd.*, (2016) 3 SCC 49 [verify]</w:t>
            </w:r>
          </w:p>
        </w:tc>
        <w:tc>
          <w:tcPr>
            <w:tcW w:type="dxa" w:w="60480"/>
          </w:tcPr>
          <w:p>
            <w:r/>
            <w:r>
              <w:rPr>
                <w:rFonts w:ascii="Calibri" w:hAnsi="Calibri"/>
                <w:b w:val="0"/>
                <w:i w:val="0"/>
                <w:color w:val="1B2A32"/>
                <w:sz w:val="18"/>
              </w:rPr>
              <w:t>Ambiguity construed against the insurer who drafted the wording</w:t>
            </w:r>
          </w:p>
        </w:tc>
      </w:tr>
      <w:tr>
        <w:tc>
          <w:tcPr>
            <w:tcW w:type="dxa" w:w="34560"/>
            <w:shd w:val="clear" w:fill="F3F7F9"/>
          </w:tcPr>
          <w:p>
            <w:r/>
            <w:r>
              <w:rPr>
                <w:rFonts w:ascii="Calibri" w:hAnsi="Calibri"/>
                <w:b w:val="0"/>
                <w:i w:val="0"/>
                <w:color w:val="1B2A32"/>
                <w:sz w:val="18"/>
              </w:rPr>
              <w:t>Proximate cause</w:t>
            </w:r>
          </w:p>
        </w:tc>
        <w:tc>
          <w:tcPr>
            <w:tcW w:type="dxa" w:w="48960"/>
            <w:shd w:val="clear" w:fill="F3F7F9"/>
          </w:tcPr>
          <w:p>
            <w:r/>
            <w:r>
              <w:rPr>
                <w:rFonts w:ascii="Calibri" w:hAnsi="Calibri"/>
                <w:b w:val="0"/>
                <w:i w:val="0"/>
                <w:color w:val="1B2A32"/>
                <w:sz w:val="18"/>
              </w:rPr>
              <w:t>*Leyland Shipping v. Norwich Union* [1918] AC 350; *Oriental Insurance v. Hasmukhbhai T. Patel* [verify]</w:t>
            </w:r>
          </w:p>
        </w:tc>
        <w:tc>
          <w:tcPr>
            <w:tcW w:type="dxa" w:w="60480"/>
            <w:shd w:val="clear" w:fill="F3F7F9"/>
          </w:tcPr>
          <w:p>
            <w:r/>
            <w:r>
              <w:rPr>
                <w:rFonts w:ascii="Calibri" w:hAnsi="Calibri"/>
                <w:b w:val="0"/>
                <w:i w:val="0"/>
                <w:color w:val="1B2A32"/>
                <w:sz w:val="18"/>
              </w:rPr>
              <w:t>The dominant effective cause governs, not a remote one</w:t>
            </w:r>
          </w:p>
        </w:tc>
      </w:tr>
      <w:tr>
        <w:tc>
          <w:tcPr>
            <w:tcW w:type="dxa" w:w="34560"/>
          </w:tcPr>
          <w:p>
            <w:r/>
            <w:r>
              <w:rPr>
                <w:rFonts w:ascii="Calibri" w:hAnsi="Calibri"/>
                <w:b w:val="0"/>
                <w:i w:val="0"/>
                <w:color w:val="1B2A32"/>
                <w:sz w:val="18"/>
              </w:rPr>
              <w:t>Condition breach / nexus</w:t>
            </w:r>
          </w:p>
        </w:tc>
        <w:tc>
          <w:tcPr>
            <w:tcW w:type="dxa" w:w="48960"/>
          </w:tcPr>
          <w:p>
            <w:r/>
            <w:r>
              <w:rPr>
                <w:rFonts w:ascii="Calibri" w:hAnsi="Calibri"/>
                <w:b w:val="0"/>
                <w:i w:val="0"/>
                <w:color w:val="1B2A32"/>
                <w:sz w:val="18"/>
              </w:rPr>
              <w:t>*Amalendu Sahoo v. Oriental Insurance*, (2010) 4 SCC 536 [verify]</w:t>
            </w:r>
          </w:p>
        </w:tc>
        <w:tc>
          <w:tcPr>
            <w:tcW w:type="dxa" w:w="60480"/>
          </w:tcPr>
          <w:p>
            <w:r/>
            <w:r>
              <w:rPr>
                <w:rFonts w:ascii="Calibri" w:hAnsi="Calibri"/>
                <w:b w:val="0"/>
                <w:i w:val="0"/>
                <w:color w:val="1B2A32"/>
                <w:sz w:val="18"/>
              </w:rPr>
              <w:t>Breach without nexus to the loss does not defeat the claim; non-standard settlement</w:t>
            </w:r>
          </w:p>
        </w:tc>
      </w:tr>
      <w:tr>
        <w:tc>
          <w:tcPr>
            <w:tcW w:type="dxa" w:w="34560"/>
            <w:shd w:val="clear" w:fill="F3F7F9"/>
          </w:tcPr>
          <w:p>
            <w:r/>
            <w:r>
              <w:rPr>
                <w:rFonts w:ascii="Calibri" w:hAnsi="Calibri"/>
                <w:b w:val="0"/>
                <w:i w:val="0"/>
                <w:color w:val="1B2A32"/>
                <w:sz w:val="18"/>
              </w:rPr>
              <w:t>Theft &amp; non-standard settlement</w:t>
            </w:r>
          </w:p>
        </w:tc>
        <w:tc>
          <w:tcPr>
            <w:tcW w:type="dxa" w:w="48960"/>
            <w:shd w:val="clear" w:fill="F3F7F9"/>
          </w:tcPr>
          <w:p>
            <w:r/>
            <w:r>
              <w:rPr>
                <w:rFonts w:ascii="Calibri" w:hAnsi="Calibri"/>
                <w:b w:val="0"/>
                <w:i w:val="0"/>
                <w:color w:val="1B2A32"/>
                <w:sz w:val="18"/>
              </w:rPr>
              <w:t>*National Insurance v. Nitin Khandelwal*, (2008) 11 SCC 259 [verify]</w:t>
            </w:r>
          </w:p>
        </w:tc>
        <w:tc>
          <w:tcPr>
            <w:tcW w:type="dxa" w:w="60480"/>
            <w:shd w:val="clear" w:fill="F3F7F9"/>
          </w:tcPr>
          <w:p>
            <w:r/>
            <w:r>
              <w:rPr>
                <w:rFonts w:ascii="Calibri" w:hAnsi="Calibri"/>
                <w:b w:val="0"/>
                <w:i w:val="0"/>
                <w:color w:val="1B2A32"/>
                <w:sz w:val="18"/>
              </w:rPr>
              <w:t>In theft, use/condition breach lacks nexus; insurer liable, non-standard basis</w:t>
            </w:r>
          </w:p>
        </w:tc>
      </w:tr>
      <w:tr>
        <w:tc>
          <w:tcPr>
            <w:tcW w:type="dxa" w:w="34560"/>
          </w:tcPr>
          <w:p>
            <w:r/>
            <w:r>
              <w:rPr>
                <w:rFonts w:ascii="Calibri" w:hAnsi="Calibri"/>
                <w:b w:val="0"/>
                <w:i w:val="0"/>
                <w:color w:val="1B2A32"/>
                <w:sz w:val="18"/>
              </w:rPr>
              <w:t>75% non-standard settlement</w:t>
            </w:r>
          </w:p>
        </w:tc>
        <w:tc>
          <w:tcPr>
            <w:tcW w:type="dxa" w:w="48960"/>
          </w:tcPr>
          <w:p>
            <w:r/>
            <w:r>
              <w:rPr>
                <w:rFonts w:ascii="Calibri" w:hAnsi="Calibri"/>
                <w:b w:val="0"/>
                <w:i w:val="0"/>
                <w:color w:val="1B2A32"/>
                <w:sz w:val="18"/>
              </w:rPr>
              <w:t>*Ashok Kumar v. New India Assurance*, 2023 INSC 659 [verify]</w:t>
            </w:r>
          </w:p>
        </w:tc>
        <w:tc>
          <w:tcPr>
            <w:tcW w:type="dxa" w:w="60480"/>
          </w:tcPr>
          <w:p>
            <w:r/>
            <w:r>
              <w:rPr>
                <w:rFonts w:ascii="Calibri" w:hAnsi="Calibri"/>
                <w:b w:val="0"/>
                <w:i w:val="0"/>
                <w:color w:val="1B2A32"/>
                <w:sz w:val="18"/>
              </w:rPr>
              <w:t>Upholding 75% settlement on a contested theft claim</w:t>
            </w:r>
          </w:p>
        </w:tc>
      </w:tr>
      <w:tr>
        <w:tc>
          <w:tcPr>
            <w:tcW w:type="dxa" w:w="34560"/>
            <w:shd w:val="clear" w:fill="F3F7F9"/>
          </w:tcPr>
          <w:p>
            <w:r/>
            <w:r>
              <w:rPr>
                <w:rFonts w:ascii="Calibri" w:hAnsi="Calibri"/>
                <w:b w:val="0"/>
                <w:i w:val="0"/>
                <w:color w:val="1B2A32"/>
                <w:sz w:val="18"/>
              </w:rPr>
              <w:t>Discharge voucher / duress</w:t>
            </w:r>
          </w:p>
        </w:tc>
        <w:tc>
          <w:tcPr>
            <w:tcW w:type="dxa" w:w="48960"/>
            <w:shd w:val="clear" w:fill="F3F7F9"/>
          </w:tcPr>
          <w:p>
            <w:r/>
            <w:r>
              <w:rPr>
                <w:rFonts w:ascii="Calibri" w:hAnsi="Calibri"/>
                <w:b w:val="0"/>
                <w:i w:val="0"/>
                <w:color w:val="1B2A32"/>
                <w:sz w:val="18"/>
              </w:rPr>
              <w:t>*National Insurance v. Boghara Polyfab (P) Ltd.*, (2009) 1 SCC 267 [verify]</w:t>
            </w:r>
          </w:p>
        </w:tc>
        <w:tc>
          <w:tcPr>
            <w:tcW w:type="dxa" w:w="60480"/>
            <w:shd w:val="clear" w:fill="F3F7F9"/>
          </w:tcPr>
          <w:p>
            <w:r/>
            <w:r>
              <w:rPr>
                <w:rFonts w:ascii="Calibri" w:hAnsi="Calibri"/>
                <w:b w:val="0"/>
                <w:i w:val="0"/>
                <w:color w:val="1B2A32"/>
                <w:sz w:val="18"/>
              </w:rPr>
              <w:t>Discharge voucher obtained by coercion is no bar, on prima facie evidence of duress</w:t>
            </w:r>
          </w:p>
        </w:tc>
      </w:tr>
      <w:tr>
        <w:tc>
          <w:tcPr>
            <w:tcW w:type="dxa" w:w="34560"/>
          </w:tcPr>
          <w:p>
            <w:r/>
            <w:r>
              <w:rPr>
                <w:rFonts w:ascii="Calibri" w:hAnsi="Calibri"/>
                <w:b w:val="0"/>
                <w:i w:val="0"/>
                <w:color w:val="1B2A32"/>
                <w:sz w:val="18"/>
              </w:rPr>
              <w:t>'Full and final' &amp; economic duress</w:t>
            </w:r>
          </w:p>
        </w:tc>
        <w:tc>
          <w:tcPr>
            <w:tcW w:type="dxa" w:w="48960"/>
          </w:tcPr>
          <w:p>
            <w:r/>
            <w:r>
              <w:rPr>
                <w:rFonts w:ascii="Calibri" w:hAnsi="Calibri"/>
                <w:b w:val="0"/>
                <w:i w:val="0"/>
                <w:color w:val="1B2A32"/>
                <w:sz w:val="18"/>
              </w:rPr>
              <w:t>Supreme Court, 2025 [verify — 2025 INSC citation]</w:t>
            </w:r>
          </w:p>
        </w:tc>
        <w:tc>
          <w:tcPr>
            <w:tcW w:type="dxa" w:w="60480"/>
          </w:tcPr>
          <w:p>
            <w:r/>
            <w:r>
              <w:rPr>
                <w:rFonts w:ascii="Calibri" w:hAnsi="Calibri"/>
                <w:b w:val="0"/>
                <w:i w:val="0"/>
                <w:color w:val="1B2A32"/>
                <w:sz w:val="18"/>
              </w:rPr>
              <w:t>Full-and-final does not bind where consent was procured by economic duress</w:t>
            </w:r>
          </w:p>
        </w:tc>
      </w:tr>
      <w:tr>
        <w:tc>
          <w:tcPr>
            <w:tcW w:type="dxa" w:w="34560"/>
            <w:shd w:val="clear" w:fill="F3F7F9"/>
          </w:tcPr>
          <w:p>
            <w:r/>
            <w:r>
              <w:rPr>
                <w:rFonts w:ascii="Calibri" w:hAnsi="Calibri"/>
                <w:b w:val="0"/>
                <w:i w:val="0"/>
                <w:color w:val="1B2A32"/>
                <w:sz w:val="18"/>
              </w:rPr>
              <w:t>Consumer remedy not ousted by arbitration</w:t>
            </w:r>
          </w:p>
        </w:tc>
        <w:tc>
          <w:tcPr>
            <w:tcW w:type="dxa" w:w="48960"/>
            <w:shd w:val="clear" w:fill="F3F7F9"/>
          </w:tcPr>
          <w:p>
            <w:r/>
            <w:r>
              <w:rPr>
                <w:rFonts w:ascii="Calibri" w:hAnsi="Calibri"/>
                <w:b w:val="0"/>
                <w:i w:val="0"/>
                <w:color w:val="1B2A32"/>
                <w:sz w:val="18"/>
              </w:rPr>
              <w:t>*Emaar MGF Land Ltd. v. Aftab Singh* [verify]; *National Seeds Corp. v. M. Madhusudhan Reddy* [verify]; *Fair Air Engineers v. N.K. Modi* [verify]</w:t>
            </w:r>
          </w:p>
        </w:tc>
        <w:tc>
          <w:tcPr>
            <w:tcW w:type="dxa" w:w="60480"/>
            <w:shd w:val="clear" w:fill="F3F7F9"/>
          </w:tcPr>
          <w:p>
            <w:r/>
            <w:r>
              <w:rPr>
                <w:rFonts w:ascii="Calibri" w:hAnsi="Calibri"/>
                <w:b w:val="0"/>
                <w:i w:val="0"/>
                <w:color w:val="1B2A32"/>
                <w:sz w:val="18"/>
              </w:rPr>
              <w:t>The consumer remedy is additional and is not ousted by an arbitration clause</w:t>
            </w:r>
          </w:p>
        </w:tc>
      </w:tr>
      <w:tr>
        <w:tc>
          <w:tcPr>
            <w:tcW w:type="dxa" w:w="34560"/>
          </w:tcPr>
          <w:p>
            <w:r/>
            <w:r>
              <w:rPr>
                <w:rFonts w:ascii="Calibri" w:hAnsi="Calibri"/>
                <w:b w:val="0"/>
                <w:i w:val="0"/>
                <w:color w:val="1B2A32"/>
                <w:sz w:val="18"/>
              </w:rPr>
              <w:t>Retail arbitration bar (regulatory)</w:t>
            </w:r>
          </w:p>
        </w:tc>
        <w:tc>
          <w:tcPr>
            <w:tcW w:type="dxa" w:w="48960"/>
          </w:tcPr>
          <w:p>
            <w:r/>
            <w:r>
              <w:rPr>
                <w:rFonts w:ascii="Calibri" w:hAnsi="Calibri"/>
                <w:b w:val="0"/>
                <w:i w:val="0"/>
                <w:color w:val="1B2A32"/>
                <w:sz w:val="18"/>
              </w:rPr>
              <w:t>IRDAI circular dated 27 October 2023</w:t>
            </w:r>
          </w:p>
        </w:tc>
        <w:tc>
          <w:tcPr>
            <w:tcW w:type="dxa" w:w="60480"/>
          </w:tcPr>
          <w:p>
            <w:r/>
            <w:r>
              <w:rPr>
                <w:rFonts w:ascii="Calibri" w:hAnsi="Calibri"/>
                <w:b w:val="0"/>
                <w:i w:val="0"/>
                <w:color w:val="1B2A32"/>
                <w:sz w:val="18"/>
              </w:rPr>
              <w:t>No arbitration clause in retail general-insurance policies; commercial may agree separately</w:t>
            </w:r>
          </w:p>
        </w:tc>
      </w:tr>
      <w:tr>
        <w:tc>
          <w:tcPr>
            <w:tcW w:type="dxa" w:w="34560"/>
            <w:shd w:val="clear" w:fill="F3F7F9"/>
          </w:tcPr>
          <w:p>
            <w:r/>
            <w:r>
              <w:rPr>
                <w:rFonts w:ascii="Calibri" w:hAnsi="Calibri"/>
                <w:b w:val="0"/>
                <w:i w:val="0"/>
                <w:color w:val="1B2A32"/>
                <w:sz w:val="18"/>
              </w:rPr>
              <w:t>Turnaround &amp; interest (regulatory)</w:t>
            </w:r>
          </w:p>
        </w:tc>
        <w:tc>
          <w:tcPr>
            <w:tcW w:type="dxa" w:w="48960"/>
            <w:shd w:val="clear" w:fill="F3F7F9"/>
          </w:tcPr>
          <w:p>
            <w:r/>
            <w:r>
              <w:rPr>
                <w:rFonts w:ascii="Calibri" w:hAnsi="Calibri"/>
                <w:b w:val="0"/>
                <w:i w:val="0"/>
                <w:color w:val="1B2A32"/>
                <w:sz w:val="18"/>
              </w:rPr>
              <w:t>IRDAI (PPHI) Regulations, 2024; Master Circulars, Sept 2024 [verify clause refs]</w:t>
            </w:r>
          </w:p>
        </w:tc>
        <w:tc>
          <w:tcPr>
            <w:tcW w:type="dxa" w:w="60480"/>
            <w:shd w:val="clear" w:fill="F3F7F9"/>
          </w:tcPr>
          <w:p>
            <w:r/>
            <w:r>
              <w:rPr>
                <w:rFonts w:ascii="Calibri" w:hAnsi="Calibri"/>
                <w:b w:val="0"/>
                <w:i w:val="0"/>
                <w:color w:val="1B2A32"/>
                <w:sz w:val="18"/>
              </w:rPr>
              <w:t>Cashless 1 hr / discharge 3 hr; claim 30 days; interest 2% above bank rate</w:t>
            </w:r>
          </w:p>
        </w:tc>
      </w:tr>
    </w:tbl>
    <w:p>
      <w:pPr>
        <w:spacing w:after="40"/>
      </w:pPr>
    </w:p>
    <w:tbl>
      <w:tblPr>
        <w:tblW w:type="auto" w:w="0"/>
        <w:jc w:val="center"/>
        <w:tblLook w:firstColumn="1" w:firstRow="1" w:lastColumn="0" w:lastRow="0" w:noHBand="0" w:noVBand="1" w:val="04A0"/>
      </w:tblPr>
      <w:tblGrid>
        <w:gridCol w:w="9504"/>
      </w:tblGrid>
      <w:tr>
        <w:tc>
          <w:tcPr>
            <w:tcW w:type="dxa" w:w="9360"/>
            <w:shd w:val="clear" w:fill="DCEAEF"/>
            <w:tcBorders>
              <w:start w:val="single" w:sz="22" w:space="0" w:color="1E7A8C"/>
            </w:tcBorders>
          </w:tcPr>
          <w:p>
            <w:r>
              <w:rPr>
                <w:rFonts w:ascii="Calibri" w:hAnsi="Calibri"/>
                <w:b/>
                <w:i w:val="0"/>
                <w:color w:val="123B4F"/>
                <w:sz w:val="18"/>
              </w:rPr>
              <w:t>SOURCES CONSULTED (July 2026)</w:t>
            </w:r>
          </w:p>
          <w:p>
            <w:r>
              <w:rPr>
                <w:rFonts w:ascii="Calibri" w:hAnsi="Calibri"/>
                <w:b w:val="0"/>
                <w:i w:val="0"/>
                <w:color w:val="1B2A32"/>
                <w:sz w:val="19"/>
              </w:rPr>
              <w:t>Council for Insurance Ombudsmen Annual Report 2023-24; IRDAI (PPHI) Regulations 2024 and Master Circulars 2024; Supreme Court of India and NCDRC reporting via SCC/INSC as cited; PMFBY Revised Operational Guidelines and Krishi Rakshak Portal; National Health Authority PM-JAY grievance guidelines; EY/Deloitte cyber-insurance market notes. Every case name here was located in legal-reporting sources during research; pinpoints remain [verify] pending counsel's confirmation.</w:t>
            </w:r>
          </w:p>
        </w:tc>
      </w:tr>
    </w:tbl>
    <w:p>
      <w:pPr>
        <w:spacing w:after="40"/>
      </w:pPr>
    </w:p>
    <w:sectPr w:rsidR="00FC693F" w:rsidRPr="0006063C" w:rsidSect="00034616">
      <w:headerReference w:type="default" r:id="rId9"/>
      <w:footerReference w:type="default" r:id="rId10"/>
      <w:pgSz w:w="12240" w:h="15840"/>
      <w:pgMar w:top="1296"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b w:val="0"/>
        <w:i w:val="0"/>
        <w:color w:val="556168"/>
        <w:sz w:val="16"/>
      </w:rPr>
      <w:t xml:space="preserve">Equator Resolution · An Infrabyx Group venture · Confidential draft — not legal advice · Page </w:t>
    </w:r>
    <w:r>
      <w:rPr>
        <w:rFonts w:ascii="Calibri" w:hAnsi="Calibri"/>
        <w:color w:val="556168"/>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2" w:color="C6A15B"/>
      </w:pBdr>
    </w:pPr>
    <w:r/>
    <w:r>
      <w:rPr>
        <w:rFonts w:ascii="Calibri" w:hAnsi="Calibri"/>
        <w:b w:val="0"/>
        <w:i w:val="0"/>
        <w:color w:val="556168"/>
        <w:sz w:val="16"/>
      </w:rPr>
      <w:t>Equator Resolution — Insurance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Calibri" w:hAnsi="Calibri"/>
      <w:color w:val="1B2A3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E5702746-1B6F-4170-B684-C69E741DD811}"/>
</file>

<file path=customXml/itemProps3.xml><?xml version="1.0" encoding="utf-8"?>
<ds:datastoreItem xmlns:ds="http://schemas.openxmlformats.org/officeDocument/2006/customXml" ds:itemID="{0B046E67-671D-4B25-B731-D6F1CA3AC257}"/>
</file>

<file path=customXml/itemProps4.xml><?xml version="1.0" encoding="utf-8"?>
<ds:datastoreItem xmlns:ds="http://schemas.openxmlformats.org/officeDocument/2006/customXml" ds:itemID="{995F572B-511C-41F1-B213-4FCD6446F9A1}"/>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