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/>
          <w:b/>
          <w:i w:val="0"/>
          <w:color w:val="123B4F"/>
          <w:sz w:val="34"/>
        </w:rPr>
        <w:t>EQUATOR RESOLUTION</w:t>
      </w:r>
    </w:p>
    <w:p>
      <w:pPr>
        <w:spacing w:after="60"/>
        <w:jc w:val="center"/>
      </w:pPr>
      <w:r>
        <w:rPr>
          <w:rFonts w:ascii="Calibri" w:hAnsi="Calibri"/>
          <w:b w:val="0"/>
          <w:i/>
          <w:color w:val="1E7A8C"/>
          <w:sz w:val="21"/>
        </w:rPr>
        <w:t>Institutional Mediation, Conciliation &amp; Settlement</w:t>
      </w:r>
    </w:p>
    <w:p>
      <w:pPr>
        <w:pBdr>
          <w:top w:val="single" w:sz="14" w:space="6" w:color="C6A15B"/>
          <w:bottom w:val="single" w:sz="14" w:space="6" w:color="C6A15B"/>
        </w:pBdr>
      </w:pPr>
    </w:p>
    <w:p>
      <w:pPr>
        <w:spacing w:before="600"/>
        <w:jc w:val="center"/>
      </w:pPr>
      <w:r>
        <w:rPr>
          <w:rFonts w:ascii="Calibri" w:hAnsi="Calibri"/>
          <w:b/>
          <w:i w:val="0"/>
          <w:color w:val="123B4F"/>
          <w:sz w:val="48"/>
        </w:rPr>
        <w:t>Competitive &amp; Market Note — Insurance</w:t>
      </w:r>
    </w:p>
    <w:p>
      <w:pPr>
        <w:jc w:val="center"/>
      </w:pPr>
      <w:r>
        <w:rPr>
          <w:rFonts w:ascii="Calibri" w:hAnsi="Calibri"/>
          <w:b w:val="0"/>
          <w:i/>
          <w:color w:val="556168"/>
          <w:sz w:val="25"/>
        </w:rPr>
        <w:t>Market size, the competitive set, positioning and the honest risks</w:t>
      </w:r>
    </w:p>
    <w:p/>
    <w:p/>
    <w:p/>
    <w:p/>
    <w:p/>
    <w:p/>
    <w:p/>
    <w:p/>
    <w:p>
      <w:pPr>
        <w:jc w:val="center"/>
      </w:pPr>
      <w:r>
        <w:rPr>
          <w:rFonts w:ascii="Calibri" w:hAnsi="Calibri"/>
          <w:b/>
          <w:i w:val="0"/>
          <w:color w:val="1E7A8C"/>
          <w:sz w:val="22"/>
        </w:rPr>
        <w:t>Insurance Dispute Resolution vertical</w:t>
      </w:r>
    </w:p>
    <w:p>
      <w:pPr>
        <w:jc w:val="center"/>
      </w:pPr>
      <w:r>
        <w:rPr>
          <w:rFonts w:ascii="Calibri" w:hAnsi="Calibri"/>
          <w:b w:val="0"/>
          <w:i w:val="0"/>
          <w:color w:val="556168"/>
          <w:sz w:val="19"/>
        </w:rPr>
        <w:t>July 2026  ·  Draft for legal sign-off  ·  www.equatorresolution.com</w:t>
      </w:r>
    </w:p>
    <w:p>
      <w:r>
        <w:br w:type="page"/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Summary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The insurance dispute market in India is large, growing, and — unusually — already served by a free, competent, statutory forum. That is not a reason to stay out of it. It is the reason to enter it with a clearly different product: </w:t>
      </w:r>
      <w:r>
        <w:rPr>
          <w:rFonts w:ascii="Calibri" w:hAnsi="Calibri"/>
          <w:b/>
          <w:i w:val="0"/>
          <w:color w:val="1B2A32"/>
          <w:sz w:val="21"/>
        </w:rPr>
        <w:t>preparation, speed, scope and enforceability</w:t>
      </w:r>
      <w:r>
        <w:rPr>
          <w:rFonts w:ascii="Calibri" w:hAnsi="Calibri"/>
          <w:b w:val="0"/>
          <w:i w:val="0"/>
          <w:color w:val="1B2A32"/>
          <w:sz w:val="21"/>
        </w:rPr>
        <w:t>, sold to insurers as much as to policyholders. The commercial engine is the insurer relationship; the retail service is the credibility that makes the insurer relationship saleable.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360"/>
            <w:shd w:val="clear" w:fill="F5ECD6"/>
            <w:tcBorders>
              <w:start w:val="single" w:sz="22" w:space="0" w:color="C6A15B"/>
            </w:tcBorders>
          </w:tcPr>
          <w:p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THE ONE-LINE POSITION</w:t>
            </w:r>
          </w:p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*The Insurance Ombudsman decides claims for free. Equator settles disputes fast, and settles the things an award cannot reach.*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1.  Market size and shape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4320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Indicator</w:t>
            </w:r>
          </w:p>
        </w:tc>
        <w:tc>
          <w:tcPr>
            <w:tcW w:type="dxa" w:w="4896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Figure</w:t>
            </w:r>
          </w:p>
        </w:tc>
        <w:tc>
          <w:tcPr>
            <w:tcW w:type="dxa" w:w="5184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Source / caveat</w:t>
            </w:r>
          </w:p>
        </w:tc>
      </w:tr>
      <w:tr>
        <w:tc>
          <w:tcPr>
            <w:tcW w:type="dxa" w:w="4320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Complaints to the 17 Insurance Ombudsman centres, 2023-24</w:t>
            </w:r>
          </w:p>
        </w:tc>
        <w:tc>
          <w:tcPr>
            <w:tcW w:type="dxa" w:w="489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52,575 received; 49,705 disposed</w:t>
            </w:r>
          </w:p>
        </w:tc>
        <w:tc>
          <w:tcPr>
            <w:tcW w:type="dxa" w:w="5184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Council for Insurance Ombudsmen, Annual Report 2023-24</w:t>
            </w:r>
          </w:p>
        </w:tc>
      </w:tr>
      <w:tr>
        <w:tc>
          <w:tcPr>
            <w:tcW w:type="dxa" w:w="4320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Of those disposed, treated as non-entertainable</w:t>
            </w:r>
          </w:p>
        </w:tc>
        <w:tc>
          <w:tcPr>
            <w:tcW w:type="dxa" w:w="4896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12,855 — roughly one in four</w:t>
            </w:r>
          </w:p>
        </w:tc>
        <w:tc>
          <w:tcPr>
            <w:tcW w:type="dxa" w:w="5184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Same</w:t>
            </w:r>
          </w:p>
        </w:tc>
      </w:tr>
      <w:tr>
        <w:tc>
          <w:tcPr>
            <w:tcW w:type="dxa" w:w="4320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Outcomes issued</w:t>
            </w:r>
          </w:p>
        </w:tc>
        <w:tc>
          <w:tcPr>
            <w:tcW w:type="dxa" w:w="489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15,528 recommendations; 9,287 awards for complainants; 8,638 for insurers</w:t>
            </w:r>
          </w:p>
        </w:tc>
        <w:tc>
          <w:tcPr>
            <w:tcW w:type="dxa" w:w="5184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 xml:space="preserve">Same </w:t>
            </w:r>
            <w:r>
              <w:rPr>
                <w:rFonts w:ascii="Calibri" w:hAnsi="Calibri"/>
                <w:b/>
                <w:i w:val="0"/>
                <w:color w:val="1B2A32"/>
                <w:sz w:val="18"/>
              </w:rPr>
              <w:t>[verify — composition]</w:t>
            </w:r>
          </w:p>
        </w:tc>
      </w:tr>
      <w:tr>
        <w:tc>
          <w:tcPr>
            <w:tcW w:type="dxa" w:w="4320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Year-on-year change</w:t>
            </w:r>
          </w:p>
        </w:tc>
        <w:tc>
          <w:tcPr>
            <w:tcW w:type="dxa" w:w="4896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Disposal up over 43%; non-entertainable down roughly 50%</w:t>
            </w:r>
          </w:p>
        </w:tc>
        <w:tc>
          <w:tcPr>
            <w:tcW w:type="dxa" w:w="5184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Same</w:t>
            </w:r>
          </w:p>
        </w:tc>
      </w:tr>
      <w:tr>
        <w:tc>
          <w:tcPr>
            <w:tcW w:type="dxa" w:w="4320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Grievances on Bima Bharosa, 2023-24</w:t>
            </w:r>
          </w:p>
        </w:tc>
        <w:tc>
          <w:tcPr>
            <w:tcW w:type="dxa" w:w="489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2,15,569 total, of which 1,20,726 life</w:t>
            </w:r>
          </w:p>
        </w:tc>
        <w:tc>
          <w:tcPr>
            <w:tcW w:type="dxa" w:w="5184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 xml:space="preserve">IRDAI Annual Report 2023-24 </w:t>
            </w:r>
            <w:r>
              <w:rPr>
                <w:rFonts w:ascii="Calibri" w:hAnsi="Calibri"/>
                <w:b/>
                <w:i w:val="0"/>
                <w:color w:val="1B2A32"/>
                <w:sz w:val="18"/>
              </w:rPr>
              <w:t>[verify — latest edition]</w:t>
            </w:r>
          </w:p>
        </w:tc>
      </w:tr>
      <w:tr>
        <w:tc>
          <w:tcPr>
            <w:tcW w:type="dxa" w:w="4320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Complaint mix</w:t>
            </w:r>
          </w:p>
        </w:tc>
        <w:tc>
          <w:tcPr>
            <w:tcW w:type="dxa" w:w="4896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Health is the largest source of general-insurance grievances; life the largest by overall volume</w:t>
            </w:r>
          </w:p>
        </w:tc>
        <w:tc>
          <w:tcPr>
            <w:tcW w:type="dxa" w:w="5184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 xml:space="preserve">IRDAI / CIO </w:t>
            </w:r>
            <w:r>
              <w:rPr>
                <w:rFonts w:ascii="Calibri" w:hAnsi="Calibri"/>
                <w:b/>
                <w:i w:val="0"/>
                <w:color w:val="1B2A32"/>
                <w:sz w:val="18"/>
              </w:rPr>
              <w:t>[verify — current split]</w:t>
            </w:r>
          </w:p>
        </w:tc>
      </w:tr>
      <w:tr>
        <w:tc>
          <w:tcPr>
            <w:tcW w:type="dxa" w:w="4320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Most-complained product class</w:t>
            </w:r>
          </w:p>
        </w:tc>
        <w:tc>
          <w:tcPr>
            <w:tcW w:type="dxa" w:w="489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Endowment and savings-linked life products dominate mis-selling</w:t>
            </w:r>
          </w:p>
        </w:tc>
        <w:tc>
          <w:tcPr>
            <w:tcW w:type="dxa" w:w="5184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 xml:space="preserve">CIO </w:t>
            </w:r>
            <w:r>
              <w:rPr>
                <w:rFonts w:ascii="Calibri" w:hAnsi="Calibri"/>
                <w:b/>
                <w:i w:val="0"/>
                <w:color w:val="1B2A32"/>
                <w:sz w:val="18"/>
              </w:rPr>
              <w:t>[verify]</w:t>
            </w:r>
          </w:p>
        </w:tc>
      </w:tr>
      <w:tr>
        <w:tc>
          <w:tcPr>
            <w:tcW w:type="dxa" w:w="4320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Direction of travel</w:t>
            </w:r>
          </w:p>
        </w:tc>
        <w:tc>
          <w:tcPr>
            <w:tcW w:type="dxa" w:w="4896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Complaint volumes and contested claim values both rising</w:t>
            </w:r>
          </w:p>
        </w:tc>
        <w:tc>
          <w:tcPr>
            <w:tcW w:type="dxa" w:w="51840"/>
            <w:shd w:val="clear" w:fill="F3F7F9"/>
          </w:tcPr>
          <w:p>
            <w:r/>
            <w:r>
              <w:rPr>
                <w:rFonts w:ascii="Calibri" w:hAnsi="Calibri"/>
                <w:b/>
                <w:i w:val="0"/>
                <w:color w:val="1B2A32"/>
                <w:sz w:val="18"/>
              </w:rPr>
              <w:t>[verify — current quarter]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1E7A8C"/>
          <w:sz w:val="25"/>
        </w:rPr>
        <w:t>1.1  Reading the numbers honestly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The Ombudsman number is not the market.</w:t>
      </w:r>
      <w:r>
        <w:rPr>
          <w:rFonts w:ascii="Calibri" w:hAnsi="Calibri"/>
          <w:b w:val="0"/>
          <w:i w:val="0"/>
          <w:color w:val="1B2A32"/>
          <w:sz w:val="21"/>
        </w:rPr>
        <w:t xml:space="preserve"> It is the tip. Grievances registered on Bima Bharosa run four times higher, and most disputes never become a registered grievance at all.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The non-entertainable figure is the addressable gap.</w:t>
      </w:r>
      <w:r>
        <w:rPr>
          <w:rFonts w:ascii="Calibri" w:hAnsi="Calibri"/>
          <w:b w:val="0"/>
          <w:i w:val="0"/>
          <w:color w:val="1B2A32"/>
          <w:sz w:val="21"/>
        </w:rPr>
        <w:t xml:space="preserve"> One in four complaints failing on process is a measurable, nameable service failure that has nothing to do with the merits of anyone's claim.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Disposal is improving fast.</w:t>
      </w:r>
      <w:r>
        <w:rPr>
          <w:rFonts w:ascii="Calibri" w:hAnsi="Calibri"/>
          <w:b w:val="0"/>
          <w:i w:val="0"/>
          <w:color w:val="1B2A32"/>
          <w:sz w:val="21"/>
        </w:rPr>
        <w:t xml:space="preserve"> A 43% year-on-year increase in disposal means the Ombudsman is getting better, not worse. Any business case predicated on the statutory forum failing is a bad business case. Ours is predicated on it succeeding — and on there being work it structurally cannot do.</w:t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2.  What the Ombudsman cannot do — the actual market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Gap</w:t>
            </w:r>
          </w:p>
        </w:tc>
        <w:tc>
          <w:tcPr>
            <w:tcW w:type="dxa" w:w="5760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Why the statutory forum cannot fill it</w:t>
            </w:r>
          </w:p>
        </w:tc>
        <w:tc>
          <w:tcPr>
            <w:tcW w:type="dxa" w:w="5472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What Equator does</w:t>
            </w:r>
          </w:p>
        </w:tc>
      </w:tr>
      <w:tr>
        <w:tc>
          <w:tcPr>
            <w:tcW w:type="dxa" w:w="3168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Preparation</w:t>
            </w:r>
          </w:p>
        </w:tc>
        <w:tc>
          <w:tcPr>
            <w:tcW w:type="dxa" w:w="5760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The Ombudsman adjudicates what is put before it; it does not build the complainant's case</w:t>
            </w:r>
          </w:p>
        </w:tc>
        <w:tc>
          <w:tcPr>
            <w:tcW w:type="dxa" w:w="5472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Obtains the claim file and survey report; builds the ground-by-ground and line-item schedules</w:t>
            </w:r>
          </w:p>
        </w:tc>
      </w:tr>
      <w:tr>
        <w:tc>
          <w:tcPr>
            <w:tcW w:type="dxa" w:w="3168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Non-monetary outcomes</w:t>
            </w:r>
          </w:p>
        </w:tc>
        <w:tc>
          <w:tcPr>
            <w:tcW w:type="dxa" w:w="5760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An award decides the claim; it does not readily construct reinstatement with continuity, record correction or product conversion</w:t>
            </w:r>
          </w:p>
        </w:tc>
        <w:tc>
          <w:tcPr>
            <w:tcW w:type="dxa" w:w="5472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Settlements routinely include all three</w:t>
            </w:r>
          </w:p>
        </w:tc>
      </w:tr>
      <w:tr>
        <w:tc>
          <w:tcPr>
            <w:tcW w:type="dxa" w:w="3168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Speed</w:t>
            </w:r>
          </w:p>
        </w:tc>
        <w:tc>
          <w:tcPr>
            <w:tcW w:type="dxa" w:w="5760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Three months to award, longer where documents are incomplete</w:t>
            </w:r>
          </w:p>
        </w:tc>
        <w:tc>
          <w:tcPr>
            <w:tcW w:type="dxa" w:w="5472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30–45 days</w:t>
            </w:r>
          </w:p>
        </w:tc>
      </w:tr>
      <w:tr>
        <w:tc>
          <w:tcPr>
            <w:tcW w:type="dxa" w:w="3168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Commercial insureds</w:t>
            </w:r>
          </w:p>
        </w:tc>
        <w:tc>
          <w:tcPr>
            <w:tcW w:type="dxa" w:w="5760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The scheme is for individual policyholders only</w:t>
            </w:r>
          </w:p>
        </w:tc>
        <w:tc>
          <w:tcPr>
            <w:tcW w:type="dxa" w:w="5472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Mediation and, where separately agreed, arbitration</w:t>
            </w:r>
          </w:p>
        </w:tc>
      </w:tr>
      <w:tr>
        <w:tc>
          <w:tcPr>
            <w:tcW w:type="dxa" w:w="3168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Claims above ₹50 lakh</w:t>
            </w:r>
          </w:p>
        </w:tc>
        <w:tc>
          <w:tcPr>
            <w:tcW w:type="dxa" w:w="5760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Outside monetary jurisdiction</w:t>
            </w:r>
          </w:p>
        </w:tc>
        <w:tc>
          <w:tcPr>
            <w:tcW w:type="dxa" w:w="5472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No limit</w:t>
            </w:r>
          </w:p>
        </w:tc>
      </w:tr>
      <w:tr>
        <w:tc>
          <w:tcPr>
            <w:tcW w:type="dxa" w:w="3168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Family disputes over a death claim</w:t>
            </w:r>
          </w:p>
        </w:tc>
        <w:tc>
          <w:tcPr>
            <w:tcW w:type="dxa" w:w="5760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The Ombudsman decides insurer conduct, not competing family claims</w:t>
            </w:r>
          </w:p>
        </w:tc>
        <w:tc>
          <w:tcPr>
            <w:tcW w:type="dxa" w:w="5472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Mediates the split; the insurer pays into escrow</w:t>
            </w:r>
          </w:p>
        </w:tc>
      </w:tr>
      <w:tr>
        <w:tc>
          <w:tcPr>
            <w:tcW w:type="dxa" w:w="3168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Books of small disputes</w:t>
            </w:r>
          </w:p>
        </w:tc>
        <w:tc>
          <w:tcPr>
            <w:tcW w:type="dxa" w:w="5760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Each complaint is individual</w:t>
            </w:r>
          </w:p>
        </w:tc>
        <w:tc>
          <w:tcPr>
            <w:tcW w:type="dxa" w:w="5472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Batched settlement days</w:t>
            </w:r>
          </w:p>
        </w:tc>
      </w:tr>
      <w:tr>
        <w:tc>
          <w:tcPr>
            <w:tcW w:type="dxa" w:w="3168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Matters where the window has closed</w:t>
            </w:r>
          </w:p>
        </w:tc>
        <w:tc>
          <w:tcPr>
            <w:tcW w:type="dxa" w:w="5760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Jurisdictional bar</w:t>
            </w:r>
          </w:p>
        </w:tc>
        <w:tc>
          <w:tcPr>
            <w:tcW w:type="dxa" w:w="5472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Mediation remains available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3.  The competitive set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592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Category</w:t>
            </w:r>
          </w:p>
        </w:tc>
        <w:tc>
          <w:tcPr>
            <w:tcW w:type="dxa" w:w="3168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Who</w:t>
            </w:r>
          </w:p>
        </w:tc>
        <w:tc>
          <w:tcPr>
            <w:tcW w:type="dxa" w:w="4032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What they do</w:t>
            </w:r>
          </w:p>
        </w:tc>
        <w:tc>
          <w:tcPr>
            <w:tcW w:type="dxa" w:w="4608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Where Equator differs</w:t>
            </w:r>
          </w:p>
        </w:tc>
      </w:tr>
      <w:tr>
        <w:tc>
          <w:tcPr>
            <w:tcW w:type="dxa" w:w="2592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Statutory</w:t>
            </w:r>
          </w:p>
        </w:tc>
        <w:tc>
          <w:tcPr>
            <w:tcW w:type="dxa" w:w="3168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Insurance Ombudsman; consumer commissions; IRDAI via Bima Bharosa</w:t>
            </w:r>
          </w:p>
        </w:tc>
        <w:tc>
          <w:tcPr>
            <w:tcW w:type="dxa" w:w="4032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Free adjudication and regulatory grievance routing</w:t>
            </w:r>
          </w:p>
        </w:tc>
        <w:tc>
          <w:tcPr>
            <w:tcW w:type="dxa" w:w="4608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We do not compete. We prepare, we settle, and we signpost to them</w:t>
            </w:r>
          </w:p>
        </w:tc>
      </w:tr>
      <w:tr>
        <w:tc>
          <w:tcPr>
            <w:tcW w:type="dxa" w:w="2592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ODR platforms</w:t>
            </w:r>
          </w:p>
        </w:tc>
        <w:tc>
          <w:tcPr>
            <w:tcW w:type="dxa" w:w="3168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General Indian online dispute-resolution providers</w:t>
            </w:r>
          </w:p>
        </w:tc>
        <w:tc>
          <w:tcPr>
            <w:tcW w:type="dxa" w:w="4032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Technology-led mediation and arbitration across sectors</w:t>
            </w:r>
          </w:p>
        </w:tc>
        <w:tc>
          <w:tcPr>
            <w:tcW w:type="dxa" w:w="4608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 xml:space="preserve">Insurance-specific: the retail/commercial rule, the clock engine, the line-item schedules, an insurance-accredited panel </w:t>
            </w:r>
            <w:r>
              <w:rPr>
                <w:rFonts w:ascii="Calibri" w:hAnsi="Calibri"/>
                <w:b/>
                <w:i w:val="0"/>
                <w:color w:val="1B2A32"/>
                <w:sz w:val="18"/>
              </w:rPr>
              <w:t>[verify — current provider landscape]</w:t>
            </w:r>
          </w:p>
        </w:tc>
      </w:tr>
      <w:tr>
        <w:tc>
          <w:tcPr>
            <w:tcW w:type="dxa" w:w="2592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Claim-recovery consultants</w:t>
            </w:r>
          </w:p>
        </w:tc>
        <w:tc>
          <w:tcPr>
            <w:tcW w:type="dxa" w:w="3168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Unregulated intermediaries who pursue claims for a percentage</w:t>
            </w:r>
          </w:p>
        </w:tc>
        <w:tc>
          <w:tcPr>
            <w:tcW w:type="dxa" w:w="4032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Take a share of the recovery</w:t>
            </w:r>
          </w:p>
        </w:tc>
        <w:tc>
          <w:tcPr>
            <w:tcW w:type="dxa" w:w="4608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We are neutral and take no share of any settlement. Our fee cannot rise with the number</w:t>
            </w:r>
          </w:p>
        </w:tc>
      </w:tr>
      <w:tr>
        <w:tc>
          <w:tcPr>
            <w:tcW w:type="dxa" w:w="2592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Law firms and advocates</w:t>
            </w:r>
          </w:p>
        </w:tc>
        <w:tc>
          <w:tcPr>
            <w:tcW w:type="dxa" w:w="3168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Consumer commission and civil litigation</w:t>
            </w:r>
          </w:p>
        </w:tc>
        <w:tc>
          <w:tcPr>
            <w:tcW w:type="dxa" w:w="4032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Represent one side, for a fee, over years</w:t>
            </w:r>
          </w:p>
        </w:tc>
        <w:tc>
          <w:tcPr>
            <w:tcW w:type="dxa" w:w="4608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We represent nobody and resolve in weeks. We are complementary — parties may have advisers</w:t>
            </w:r>
          </w:p>
        </w:tc>
      </w:tr>
      <w:tr>
        <w:tc>
          <w:tcPr>
            <w:tcW w:type="dxa" w:w="2592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Insurer internal grievance and the proposed internal ombudsman</w:t>
            </w:r>
          </w:p>
        </w:tc>
        <w:tc>
          <w:tcPr>
            <w:tcW w:type="dxa" w:w="3168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Insurers themselves</w:t>
            </w:r>
          </w:p>
        </w:tc>
        <w:tc>
          <w:tcPr>
            <w:tcW w:type="dxa" w:w="4032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Internal review of their own decisions</w:t>
            </w:r>
          </w:p>
        </w:tc>
        <w:tc>
          <w:tcPr>
            <w:tcW w:type="dxa" w:w="4608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 xml:space="preserve">Independence. And where the internal ombudsman is finalised, we can help staff and run it </w:t>
            </w:r>
            <w:r>
              <w:rPr>
                <w:rFonts w:ascii="Calibri" w:hAnsi="Calibri"/>
                <w:b/>
                <w:i w:val="0"/>
                <w:color w:val="1B2A32"/>
                <w:sz w:val="18"/>
              </w:rPr>
              <w:t>[verify]</w:t>
            </w:r>
          </w:p>
        </w:tc>
      </w:tr>
      <w:tr>
        <w:tc>
          <w:tcPr>
            <w:tcW w:type="dxa" w:w="2592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Broker claims-advocacy desks</w:t>
            </w:r>
          </w:p>
        </w:tc>
        <w:tc>
          <w:tcPr>
            <w:tcW w:type="dxa" w:w="3168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Large commercial brokers</w:t>
            </w:r>
          </w:p>
        </w:tc>
        <w:tc>
          <w:tcPr>
            <w:tcW w:type="dxa" w:w="4032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Advocate the client's claim to the insurer</w:t>
            </w:r>
          </w:p>
        </w:tc>
        <w:tc>
          <w:tcPr>
            <w:tcW w:type="dxa" w:w="4608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Neutral; and where the broker's own conduct is in issue, they cannot mediate their own case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4.  Positioning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1E7A8C"/>
          <w:sz w:val="25"/>
        </w:rPr>
        <w:t>4.1  To a policyholder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*“There is a free government forum and we will tell you about it and give you your deadline. What we do is different: we get the file, break the decision down, and try to get both sides to agree — usually in 30 to 45 days, and we can agree things an award can't.”*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1E7A8C"/>
          <w:sz w:val="25"/>
        </w:rPr>
        <w:t>4.2  To an insurer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*“Settle the settleable ones early, at a lower total cost, with a decree-grade document and an audit trail you can show the regulator. And do thirty of them in a day.”*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1E7A8C"/>
          <w:sz w:val="25"/>
        </w:rPr>
        <w:t>4.3  To a commercial insured or broker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*“A quantum dispute should not take two years. Mediate the number; arbitrate only if you must.”*</w:t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5.  Go-to-market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880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Phase</w:t>
            </w:r>
          </w:p>
        </w:tc>
        <w:tc>
          <w:tcPr>
            <w:tcW w:type="dxa" w:w="1440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Months</w:t>
            </w:r>
          </w:p>
        </w:tc>
        <w:tc>
          <w:tcPr>
            <w:tcW w:type="dxa" w:w="5184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Focus</w:t>
            </w:r>
          </w:p>
        </w:tc>
        <w:tc>
          <w:tcPr>
            <w:tcW w:type="dxa" w:w="4896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Success measure</w:t>
            </w:r>
          </w:p>
        </w:tc>
      </w:tr>
      <w:tr>
        <w:tc>
          <w:tcPr>
            <w:tcW w:type="dxa" w:w="2880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1  Credibility</w:t>
            </w:r>
          </w:p>
        </w:tc>
        <w:tc>
          <w:tcPr>
            <w:tcW w:type="dxa" w:w="1440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1–3</w:t>
            </w:r>
          </w:p>
        </w:tc>
        <w:tc>
          <w:tcPr>
            <w:tcW w:type="dxa" w:w="5184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Retail service live; ECIN panel certified; signposting and clock discipline provable; first 100 matters</w:t>
            </w:r>
          </w:p>
        </w:tc>
        <w:tc>
          <w:tcPr>
            <w:tcW w:type="dxa" w:w="489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Zero clock failures; zero retail-arbitration incidents; published outcome data</w:t>
            </w:r>
          </w:p>
        </w:tc>
      </w:tr>
      <w:tr>
        <w:tc>
          <w:tcPr>
            <w:tcW w:type="dxa" w:w="2880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2  First protocol</w:t>
            </w:r>
          </w:p>
        </w:tc>
        <w:tc>
          <w:tcPr>
            <w:tcW w:type="dxa" w:w="1440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3–5</w:t>
            </w:r>
          </w:p>
        </w:tc>
        <w:tc>
          <w:tcPr>
            <w:tcW w:type="dxa" w:w="5184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One insurer institutional protocol; one batched settlement day run end to end</w:t>
            </w:r>
          </w:p>
        </w:tc>
        <w:tc>
          <w:tcPr>
            <w:tcW w:type="dxa" w:w="4896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Protocol signed; 30 files settled in a day; insurer renews</w:t>
            </w:r>
          </w:p>
        </w:tc>
      </w:tr>
      <w:tr>
        <w:tc>
          <w:tcPr>
            <w:tcW w:type="dxa" w:w="2880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3  Scale the insurer side</w:t>
            </w:r>
          </w:p>
        </w:tc>
        <w:tc>
          <w:tcPr>
            <w:tcW w:type="dxa" w:w="1440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5–8</w:t>
            </w:r>
          </w:p>
        </w:tc>
        <w:tc>
          <w:tcPr>
            <w:tcW w:type="dxa" w:w="5184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Three to five protocols; subscription tiers; reporting pack; integration</w:t>
            </w:r>
          </w:p>
        </w:tc>
        <w:tc>
          <w:tcPr>
            <w:tcW w:type="dxa" w:w="489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Recurring revenue exceeds retail revenue</w:t>
            </w:r>
          </w:p>
        </w:tc>
      </w:tr>
      <w:tr>
        <w:tc>
          <w:tcPr>
            <w:tcW w:type="dxa" w:w="2880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4  Commercial and specialty</w:t>
            </w:r>
          </w:p>
        </w:tc>
        <w:tc>
          <w:tcPr>
            <w:tcW w:type="dxa" w:w="1440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8–12</w:t>
            </w:r>
          </w:p>
        </w:tc>
        <w:tc>
          <w:tcPr>
            <w:tcW w:type="dxa" w:w="5184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Broker channel; commercial quantum disputes; arbitration where separately agreed</w:t>
            </w:r>
          </w:p>
        </w:tc>
        <w:tc>
          <w:tcPr>
            <w:tcW w:type="dxa" w:w="4896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Ad valorem revenue line established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6.  Risks — stated plainly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456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Risk</w:t>
            </w:r>
          </w:p>
        </w:tc>
        <w:tc>
          <w:tcPr>
            <w:tcW w:type="dxa" w:w="5184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Assessment</w:t>
            </w:r>
          </w:p>
        </w:tc>
        <w:tc>
          <w:tcPr>
            <w:tcW w:type="dxa" w:w="5760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34560"/>
          </w:tcPr>
          <w:p>
            <w:r/>
            <w:r>
              <w:rPr>
                <w:rFonts w:ascii="Calibri" w:hAnsi="Calibri"/>
                <w:b/>
                <w:i w:val="0"/>
                <w:color w:val="1B2A32"/>
                <w:sz w:val="18"/>
              </w:rPr>
              <w:t>The free forum is good and getting better</w:t>
            </w:r>
          </w:p>
        </w:tc>
        <w:tc>
          <w:tcPr>
            <w:tcW w:type="dxa" w:w="5184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Real. Disposal up 43% year on year. If the Ombudsman closes the process gap itself, part of our value proposition narrows</w:t>
            </w:r>
          </w:p>
        </w:tc>
        <w:tc>
          <w:tcPr>
            <w:tcW w:type="dxa" w:w="5760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Our differentiators — speed, non-monetary scope, commercial insureds, batching — are structural, not gap-filling. Do not build a plan that needs the Ombudsman to fail</w:t>
            </w:r>
          </w:p>
        </w:tc>
      </w:tr>
      <w:tr>
        <w:tc>
          <w:tcPr>
            <w:tcW w:type="dxa" w:w="3456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Insurers decline to participate</w:t>
            </w:r>
          </w:p>
        </w:tc>
        <w:tc>
          <w:tcPr>
            <w:tcW w:type="dxa" w:w="5184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Likely at first. Participation is voluntary</w:t>
            </w:r>
          </w:p>
        </w:tc>
        <w:tc>
          <w:tcPr>
            <w:tcW w:type="dxa" w:w="5760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Lead with the batched settlement day, which has an obvious cost case; publish participation rates</w:t>
            </w:r>
          </w:p>
        </w:tc>
      </w:tr>
      <w:tr>
        <w:tc>
          <w:tcPr>
            <w:tcW w:type="dxa" w:w="345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Perceived capture by insurers</w:t>
            </w:r>
          </w:p>
        </w:tc>
        <w:tc>
          <w:tcPr>
            <w:tcW w:type="dxa" w:w="5184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The existential risk in this vertical</w:t>
            </w:r>
          </w:p>
        </w:tc>
        <w:tc>
          <w:tcPr>
            <w:tcW w:type="dxa" w:w="5760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Concentration caps, rotation, consumer-side panel quota, published outcomes by insurer, and a public refusal to sell anything that compromises the process</w:t>
            </w:r>
          </w:p>
        </w:tc>
      </w:tr>
      <w:tr>
        <w:tc>
          <w:tcPr>
            <w:tcW w:type="dxa" w:w="3456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Regulatory change</w:t>
            </w:r>
          </w:p>
        </w:tc>
        <w:tc>
          <w:tcPr>
            <w:tcW w:type="dxa" w:w="5184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The internal ombudsman guidelines, DPDP phasing and the 2025 Act's commencement are all live</w:t>
            </w:r>
          </w:p>
        </w:tc>
        <w:tc>
          <w:tcPr>
            <w:tcW w:type="dxa" w:w="5760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Six-monthly review with named owners; every affected document listed in the [verify] register</w:t>
            </w:r>
          </w:p>
        </w:tc>
      </w:tr>
      <w:tr>
        <w:tc>
          <w:tcPr>
            <w:tcW w:type="dxa" w:w="345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Health-data incident</w:t>
            </w:r>
          </w:p>
        </w:tc>
        <w:tc>
          <w:tcPr>
            <w:tcW w:type="dxa" w:w="5184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Low likelihood, severe impact</w:t>
            </w:r>
          </w:p>
        </w:tc>
        <w:tc>
          <w:tcPr>
            <w:tcW w:type="dxa" w:w="5760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Segregated encrypted store, field-level access control, monthly log review, vertical-specific DPIA</w:t>
            </w:r>
          </w:p>
        </w:tc>
      </w:tr>
      <w:tr>
        <w:tc>
          <w:tcPr>
            <w:tcW w:type="dxa" w:w="3456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Unit economics on the retail side</w:t>
            </w:r>
          </w:p>
        </w:tc>
        <w:tc>
          <w:tcPr>
            <w:tcW w:type="dxa" w:w="5184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Retail is loss-leading by design</w:t>
            </w:r>
          </w:p>
        </w:tc>
        <w:tc>
          <w:tcPr>
            <w:tcW w:type="dxa" w:w="5760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The plan does not require retail to be profitable. If insurer subscriptions do not land, the vertical does not scale — that is the real test, and the financial model states it</w:t>
            </w:r>
          </w:p>
        </w:tc>
      </w:tr>
      <w:tr>
        <w:tc>
          <w:tcPr>
            <w:tcW w:type="dxa" w:w="345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Claim-recovery consultants undercut on price</w:t>
            </w:r>
          </w:p>
        </w:tc>
        <w:tc>
          <w:tcPr>
            <w:tcW w:type="dxa" w:w="5184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They charge nothing up front and take a share</w:t>
            </w:r>
          </w:p>
        </w:tc>
        <w:tc>
          <w:tcPr>
            <w:tcW w:type="dxa" w:w="5760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We cannot and will not match that model. Compete on neutrality, enforceability and the fact that we do not profit from the number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b w:val="0"/>
        <w:i w:val="0"/>
        <w:color w:val="556168"/>
        <w:sz w:val="16"/>
      </w:rPr>
      <w:t xml:space="preserve">Equator Resolution · An Infrabyx Group venture · Confidential draft — not legal advice · Page </w:t>
    </w:r>
    <w:r>
      <w:rPr>
        <w:rFonts w:ascii="Calibri" w:hAnsi="Calibri"/>
        <w:color w:val="556168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2" w:color="C6A15B"/>
      </w:pBdr>
    </w:pPr>
    <w:r/>
    <w:r>
      <w:rPr>
        <w:rFonts w:ascii="Calibri" w:hAnsi="Calibri"/>
        <w:b w:val="0"/>
        <w:i w:val="0"/>
        <w:color w:val="556168"/>
        <w:sz w:val="16"/>
      </w:rPr>
      <w:t>Equator Resolution — Insurance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1" w:lineRule="auto"/>
    </w:pPr>
    <w:rPr>
      <w:rFonts w:ascii="Calibri" w:hAnsi="Calibri"/>
      <w:color w:val="1B2A3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130E8ED-7BA0-43F6-8823-E52EB2D93711}"/>
</file>

<file path=customXml/itemProps3.xml><?xml version="1.0" encoding="utf-8"?>
<ds:datastoreItem xmlns:ds="http://schemas.openxmlformats.org/officeDocument/2006/customXml" ds:itemID="{BAEFF4C5-06D1-4EB1-B07E-1D03B3BA2918}"/>
</file>

<file path=customXml/itemProps4.xml><?xml version="1.0" encoding="utf-8"?>
<ds:datastoreItem xmlns:ds="http://schemas.openxmlformats.org/officeDocument/2006/customXml" ds:itemID="{CD5B46CD-4419-4611-BBC0-661D49DFF45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