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Insurance Vertical — Institutional Readiness Pack</w:t>
      </w:r>
    </w:p>
    <w:p>
      <w:pPr>
        <w:jc w:val="center"/>
      </w:pPr>
      <w:r>
        <w:rPr>
          <w:rFonts w:ascii="Calibri" w:hAnsi="Calibri"/>
          <w:b w:val="0"/>
          <w:i/>
          <w:color w:val="556168"/>
          <w:sz w:val="25"/>
        </w:rPr>
        <w:t>Go-live checklist · empanelment rubric · insurer BD · panel MoU · regulatory note</w:t>
      </w:r>
    </w:p>
    <w:p/>
    <w:p/>
    <w:p/>
    <w:p/>
    <w:p/>
    <w:p/>
    <w:p/>
    <w:p/>
    <w:p>
      <w:pPr>
        <w:jc w:val="center"/>
      </w:pPr>
      <w:r>
        <w:rPr>
          <w:rFonts w:ascii="Calibri" w:hAnsi="Calibri"/>
          <w:b/>
          <w:i w:val="0"/>
          <w:color w:val="1E7A8C"/>
          <w:sz w:val="22"/>
        </w:rPr>
        <w:t>Insurance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Go-live checklist</w:t>
      </w:r>
    </w:p>
    <w:p>
      <w:pPr>
        <w:spacing w:after="120"/>
        <w:jc w:val="both"/>
      </w:pPr>
      <w:r>
        <w:rPr>
          <w:rFonts w:ascii="Calibri" w:hAnsi="Calibri"/>
          <w:b w:val="0"/>
          <w:i w:val="0"/>
          <w:color w:val="1B2A32"/>
          <w:sz w:val="21"/>
        </w:rPr>
        <w:t>The vertical does not launch until every row is green and the Board has signed off.</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5760"/>
            <w:shd w:val="clear" w:fill="123B4F"/>
          </w:tcPr>
          <w:p>
            <w:r/>
            <w:r>
              <w:rPr>
                <w:rFonts w:ascii="Calibri" w:hAnsi="Calibri"/>
                <w:b/>
                <w:i w:val="0"/>
                <w:color w:val="FFFFFF"/>
                <w:sz w:val="18"/>
              </w:rPr>
              <w:t>#</w:t>
            </w:r>
          </w:p>
        </w:tc>
        <w:tc>
          <w:tcPr>
            <w:tcW w:type="dxa" w:w="57600"/>
            <w:shd w:val="clear" w:fill="123B4F"/>
          </w:tcPr>
          <w:p>
            <w:r/>
            <w:r>
              <w:rPr>
                <w:rFonts w:ascii="Calibri" w:hAnsi="Calibri"/>
                <w:b/>
                <w:i w:val="0"/>
                <w:color w:val="FFFFFF"/>
                <w:sz w:val="18"/>
              </w:rPr>
              <w:t>Item</w:t>
            </w:r>
          </w:p>
        </w:tc>
        <w:tc>
          <w:tcPr>
            <w:tcW w:type="dxa" w:w="17280"/>
            <w:shd w:val="clear" w:fill="123B4F"/>
          </w:tcPr>
          <w:p>
            <w:r/>
            <w:r>
              <w:rPr>
                <w:rFonts w:ascii="Calibri" w:hAnsi="Calibri"/>
                <w:b/>
                <w:i w:val="0"/>
                <w:color w:val="FFFFFF"/>
                <w:sz w:val="18"/>
              </w:rPr>
              <w:t>Owner</w:t>
            </w:r>
          </w:p>
        </w:tc>
        <w:tc>
          <w:tcPr>
            <w:tcW w:type="dxa" w:w="34560"/>
            <w:shd w:val="clear" w:fill="123B4F"/>
          </w:tcPr>
          <w:p>
            <w:r/>
            <w:r>
              <w:rPr>
                <w:rFonts w:ascii="Calibri" w:hAnsi="Calibri"/>
                <w:b/>
                <w:i w:val="0"/>
                <w:color w:val="FFFFFF"/>
                <w:sz w:val="18"/>
              </w:rPr>
              <w:t>Evidence</w:t>
            </w:r>
          </w:p>
        </w:tc>
        <w:tc>
          <w:tcPr>
            <w:tcW w:type="dxa" w:w="14400"/>
            <w:shd w:val="clear" w:fill="123B4F"/>
          </w:tcPr>
          <w:p>
            <w:r/>
            <w:r>
              <w:rPr>
                <w:rFonts w:ascii="Calibri" w:hAnsi="Calibri"/>
                <w:b/>
                <w:i w:val="0"/>
                <w:color w:val="FFFFFF"/>
                <w:sz w:val="18"/>
              </w:rPr>
              <w:t>Blocking?</w:t>
            </w:r>
          </w:p>
        </w:tc>
      </w:tr>
      <w:tr>
        <w:tc>
          <w:tcPr>
            <w:tcW w:type="dxa" w:w="5760"/>
          </w:tcPr>
          <w:p>
            <w:r/>
            <w:r>
              <w:rPr>
                <w:rFonts w:ascii="Calibri" w:hAnsi="Calibri"/>
                <w:b w:val="0"/>
                <w:i w:val="0"/>
                <w:color w:val="1B2A32"/>
                <w:sz w:val="18"/>
              </w:rPr>
              <w:t>1</w:t>
            </w:r>
          </w:p>
        </w:tc>
        <w:tc>
          <w:tcPr>
            <w:tcW w:type="dxa" w:w="57600"/>
          </w:tcPr>
          <w:p>
            <w:r/>
            <w:r>
              <w:rPr>
                <w:rFonts w:ascii="Calibri" w:hAnsi="Calibri"/>
                <w:b w:val="0"/>
                <w:i w:val="0"/>
                <w:color w:val="1B2A32"/>
                <w:sz w:val="18"/>
              </w:rPr>
              <w:t>Insurance Dispute Resolution Rules adopted by the Board</w:t>
            </w:r>
          </w:p>
        </w:tc>
        <w:tc>
          <w:tcPr>
            <w:tcW w:type="dxa" w:w="17280"/>
          </w:tcPr>
          <w:p>
            <w:r/>
            <w:r>
              <w:rPr>
                <w:rFonts w:ascii="Calibri" w:hAnsi="Calibri"/>
                <w:b w:val="0"/>
                <w:i w:val="0"/>
                <w:color w:val="1B2A32"/>
                <w:sz w:val="18"/>
              </w:rPr>
              <w:t>GC</w:t>
            </w:r>
          </w:p>
        </w:tc>
        <w:tc>
          <w:tcPr>
            <w:tcW w:type="dxa" w:w="34560"/>
          </w:tcPr>
          <w:p>
            <w:r/>
            <w:r>
              <w:rPr>
                <w:rFonts w:ascii="Calibri" w:hAnsi="Calibri"/>
                <w:b w:val="0"/>
                <w:i w:val="0"/>
                <w:color w:val="1B2A32"/>
                <w:sz w:val="18"/>
              </w:rPr>
              <w:t>Board minute</w:t>
            </w:r>
          </w:p>
        </w:tc>
        <w:tc>
          <w:tcPr>
            <w:tcW w:type="dxa" w:w="14400"/>
          </w:tcPr>
          <w:p>
            <w:r/>
            <w:r>
              <w:rPr>
                <w:rFonts w:ascii="Calibri" w:hAnsi="Calibri"/>
                <w:b w:val="0"/>
                <w:i w:val="0"/>
                <w:color w:val="1B2A32"/>
                <w:sz w:val="18"/>
              </w:rPr>
              <w:t>Yes</w:t>
            </w:r>
          </w:p>
        </w:tc>
      </w:tr>
      <w:tr>
        <w:tc>
          <w:tcPr>
            <w:tcW w:type="dxa" w:w="5760"/>
            <w:shd w:val="clear" w:fill="F3F7F9"/>
          </w:tcPr>
          <w:p>
            <w:r/>
            <w:r>
              <w:rPr>
                <w:rFonts w:ascii="Calibri" w:hAnsi="Calibri"/>
                <w:b w:val="0"/>
                <w:i w:val="0"/>
                <w:color w:val="1B2A32"/>
                <w:sz w:val="18"/>
              </w:rPr>
              <w:t>2</w:t>
            </w:r>
          </w:p>
        </w:tc>
        <w:tc>
          <w:tcPr>
            <w:tcW w:type="dxa" w:w="57600"/>
            <w:shd w:val="clear" w:fill="F3F7F9"/>
          </w:tcPr>
          <w:p>
            <w:r/>
            <w:r>
              <w:rPr>
                <w:rFonts w:ascii="Calibri" w:hAnsi="Calibri"/>
                <w:b w:val="0"/>
                <w:i w:val="0"/>
                <w:color w:val="1B2A32"/>
                <w:sz w:val="18"/>
              </w:rPr>
              <w:t>Schedule of Fees adopted; waiver policy published</w:t>
            </w:r>
          </w:p>
        </w:tc>
        <w:tc>
          <w:tcPr>
            <w:tcW w:type="dxa" w:w="17280"/>
            <w:shd w:val="clear" w:fill="F3F7F9"/>
          </w:tcPr>
          <w:p>
            <w:r/>
            <w:r>
              <w:rPr>
                <w:rFonts w:ascii="Calibri" w:hAnsi="Calibri"/>
                <w:b w:val="0"/>
                <w:i w:val="0"/>
                <w:color w:val="1B2A32"/>
                <w:sz w:val="18"/>
              </w:rPr>
              <w:t>CFO</w:t>
            </w:r>
          </w:p>
        </w:tc>
        <w:tc>
          <w:tcPr>
            <w:tcW w:type="dxa" w:w="34560"/>
            <w:shd w:val="clear" w:fill="F3F7F9"/>
          </w:tcPr>
          <w:p>
            <w:r/>
            <w:r>
              <w:rPr>
                <w:rFonts w:ascii="Calibri" w:hAnsi="Calibri"/>
                <w:b w:val="0"/>
                <w:i w:val="0"/>
                <w:color w:val="1B2A32"/>
                <w:sz w:val="18"/>
              </w:rPr>
              <w:t>Board minute; website</w:t>
            </w:r>
          </w:p>
        </w:tc>
        <w:tc>
          <w:tcPr>
            <w:tcW w:type="dxa" w:w="14400"/>
            <w:shd w:val="clear" w:fill="F3F7F9"/>
          </w:tcPr>
          <w:p>
            <w:r/>
            <w:r>
              <w:rPr>
                <w:rFonts w:ascii="Calibri" w:hAnsi="Calibri"/>
                <w:b w:val="0"/>
                <w:i w:val="0"/>
                <w:color w:val="1B2A32"/>
                <w:sz w:val="18"/>
              </w:rPr>
              <w:t>Yes</w:t>
            </w:r>
          </w:p>
        </w:tc>
      </w:tr>
      <w:tr>
        <w:tc>
          <w:tcPr>
            <w:tcW w:type="dxa" w:w="5760"/>
          </w:tcPr>
          <w:p>
            <w:r/>
            <w:r>
              <w:rPr>
                <w:rFonts w:ascii="Calibri" w:hAnsi="Calibri"/>
                <w:b w:val="0"/>
                <w:i w:val="0"/>
                <w:color w:val="1B2A32"/>
                <w:sz w:val="18"/>
              </w:rPr>
              <w:t>3</w:t>
            </w:r>
          </w:p>
        </w:tc>
        <w:tc>
          <w:tcPr>
            <w:tcW w:type="dxa" w:w="57600"/>
          </w:tcPr>
          <w:p>
            <w:r/>
            <w:r>
              <w:rPr>
                <w:rFonts w:ascii="Calibri" w:hAnsi="Calibri"/>
                <w:b w:val="0"/>
                <w:i w:val="0"/>
                <w:color w:val="1B2A32"/>
                <w:sz w:val="18"/>
              </w:rPr>
              <w:t>Signposting script approved and embedded in the intake screen and the confirmation email</w:t>
            </w:r>
          </w:p>
        </w:tc>
        <w:tc>
          <w:tcPr>
            <w:tcW w:type="dxa" w:w="17280"/>
          </w:tcPr>
          <w:p>
            <w:r/>
            <w:r>
              <w:rPr>
                <w:rFonts w:ascii="Calibri" w:hAnsi="Calibri"/>
                <w:b w:val="0"/>
                <w:i w:val="0"/>
                <w:color w:val="1B2A32"/>
                <w:sz w:val="18"/>
              </w:rPr>
              <w:t>Head of Ops</w:t>
            </w:r>
          </w:p>
        </w:tc>
        <w:tc>
          <w:tcPr>
            <w:tcW w:type="dxa" w:w="34560"/>
          </w:tcPr>
          <w:p>
            <w:r/>
            <w:r>
              <w:rPr>
                <w:rFonts w:ascii="Calibri" w:hAnsi="Calibri"/>
                <w:b w:val="0"/>
                <w:i w:val="0"/>
                <w:color w:val="1B2A32"/>
                <w:sz w:val="18"/>
              </w:rPr>
              <w:t>Screenshot; email template</w:t>
            </w:r>
          </w:p>
        </w:tc>
        <w:tc>
          <w:tcPr>
            <w:tcW w:type="dxa" w:w="14400"/>
          </w:tcPr>
          <w:p>
            <w:r/>
            <w:r>
              <w:rPr>
                <w:rFonts w:ascii="Calibri" w:hAnsi="Calibri"/>
                <w:b w:val="0"/>
                <w:i w:val="0"/>
                <w:color w:val="1B2A32"/>
                <w:sz w:val="18"/>
              </w:rPr>
              <w:t>Yes</w:t>
            </w:r>
          </w:p>
        </w:tc>
      </w:tr>
      <w:tr>
        <w:tc>
          <w:tcPr>
            <w:tcW w:type="dxa" w:w="5760"/>
            <w:shd w:val="clear" w:fill="F3F7F9"/>
          </w:tcPr>
          <w:p>
            <w:r/>
            <w:r>
              <w:rPr>
                <w:rFonts w:ascii="Calibri" w:hAnsi="Calibri"/>
                <w:b w:val="0"/>
                <w:i w:val="0"/>
                <w:color w:val="1B2A32"/>
                <w:sz w:val="18"/>
              </w:rPr>
              <w:t>4</w:t>
            </w:r>
          </w:p>
        </w:tc>
        <w:tc>
          <w:tcPr>
            <w:tcW w:type="dxa" w:w="57600"/>
            <w:shd w:val="clear" w:fill="F3F7F9"/>
          </w:tcPr>
          <w:p>
            <w:r/>
            <w:r>
              <w:rPr>
                <w:rFonts w:ascii="Calibri" w:hAnsi="Calibri"/>
                <w:b/>
                <w:i w:val="0"/>
                <w:color w:val="1B2A32"/>
                <w:sz w:val="18"/>
              </w:rPr>
              <w:t>Clock engine live</w:t>
            </w:r>
            <w:r>
              <w:rPr>
                <w:rFonts w:ascii="Calibri" w:hAnsi="Calibri"/>
                <w:b w:val="0"/>
                <w:i w:val="0"/>
                <w:color w:val="1B2A32"/>
                <w:sz w:val="18"/>
              </w:rPr>
              <w:t>, with generated expiries, 90/60/30-day alerts and the closure block</w:t>
            </w:r>
          </w:p>
        </w:tc>
        <w:tc>
          <w:tcPr>
            <w:tcW w:type="dxa" w:w="17280"/>
            <w:shd w:val="clear" w:fill="F3F7F9"/>
          </w:tcPr>
          <w:p>
            <w:r/>
            <w:r>
              <w:rPr>
                <w:rFonts w:ascii="Calibri" w:hAnsi="Calibri"/>
                <w:b w:val="0"/>
                <w:i w:val="0"/>
                <w:color w:val="1B2A32"/>
                <w:sz w:val="18"/>
              </w:rPr>
              <w:t>CTO</w:t>
            </w:r>
          </w:p>
        </w:tc>
        <w:tc>
          <w:tcPr>
            <w:tcW w:type="dxa" w:w="34560"/>
            <w:shd w:val="clear" w:fill="F3F7F9"/>
          </w:tcPr>
          <w:p>
            <w:r/>
            <w:r>
              <w:rPr>
                <w:rFonts w:ascii="Calibri" w:hAnsi="Calibri"/>
                <w:b w:val="0"/>
                <w:i w:val="0"/>
                <w:color w:val="1B2A32"/>
                <w:sz w:val="18"/>
              </w:rPr>
              <w:t>Test evidence; failed-closure test</w:t>
            </w:r>
          </w:p>
        </w:tc>
        <w:tc>
          <w:tcPr>
            <w:tcW w:type="dxa" w:w="14400"/>
            <w:shd w:val="clear" w:fill="F3F7F9"/>
          </w:tcPr>
          <w:p>
            <w:r/>
            <w:r>
              <w:rPr>
                <w:rFonts w:ascii="Calibri" w:hAnsi="Calibri"/>
                <w:b w:val="0"/>
                <w:i w:val="0"/>
                <w:color w:val="1B2A32"/>
                <w:sz w:val="18"/>
              </w:rPr>
              <w:t>Yes</w:t>
            </w:r>
          </w:p>
        </w:tc>
      </w:tr>
      <w:tr>
        <w:tc>
          <w:tcPr>
            <w:tcW w:type="dxa" w:w="5760"/>
          </w:tcPr>
          <w:p>
            <w:r/>
            <w:r>
              <w:rPr>
                <w:rFonts w:ascii="Calibri" w:hAnsi="Calibri"/>
                <w:b w:val="0"/>
                <w:i w:val="0"/>
                <w:color w:val="1B2A32"/>
                <w:sz w:val="18"/>
              </w:rPr>
              <w:t>5</w:t>
            </w:r>
          </w:p>
        </w:tc>
        <w:tc>
          <w:tcPr>
            <w:tcW w:type="dxa" w:w="57600"/>
          </w:tcPr>
          <w:p>
            <w:r/>
            <w:r>
              <w:rPr>
                <w:rFonts w:ascii="Calibri" w:hAnsi="Calibri"/>
                <w:b/>
                <w:i w:val="0"/>
                <w:color w:val="1B2A32"/>
                <w:sz w:val="18"/>
              </w:rPr>
              <w:t>Retail-arbitration bar enforced as a database CHECK constraint</w:t>
            </w:r>
            <w:r>
              <w:rPr>
                <w:rFonts w:ascii="Calibri" w:hAnsi="Calibri"/>
                <w:b w:val="0"/>
                <w:i w:val="0"/>
                <w:color w:val="1B2A32"/>
                <w:sz w:val="18"/>
              </w:rPr>
              <w:t xml:space="preserve"> and as an API 409</w:t>
            </w:r>
          </w:p>
        </w:tc>
        <w:tc>
          <w:tcPr>
            <w:tcW w:type="dxa" w:w="17280"/>
          </w:tcPr>
          <w:p>
            <w:r/>
            <w:r>
              <w:rPr>
                <w:rFonts w:ascii="Calibri" w:hAnsi="Calibri"/>
                <w:b w:val="0"/>
                <w:i w:val="0"/>
                <w:color w:val="1B2A32"/>
                <w:sz w:val="18"/>
              </w:rPr>
              <w:t>CTO</w:t>
            </w:r>
          </w:p>
        </w:tc>
        <w:tc>
          <w:tcPr>
            <w:tcW w:type="dxa" w:w="34560"/>
          </w:tcPr>
          <w:p>
            <w:r/>
            <w:r>
              <w:rPr>
                <w:rFonts w:ascii="Calibri" w:hAnsi="Calibri"/>
                <w:b w:val="0"/>
                <w:i w:val="0"/>
                <w:color w:val="1B2A32"/>
                <w:sz w:val="18"/>
              </w:rPr>
              <w:t>Constraint test; API test</w:t>
            </w:r>
          </w:p>
        </w:tc>
        <w:tc>
          <w:tcPr>
            <w:tcW w:type="dxa" w:w="14400"/>
          </w:tcPr>
          <w:p>
            <w:r/>
            <w:r>
              <w:rPr>
                <w:rFonts w:ascii="Calibri" w:hAnsi="Calibri"/>
                <w:b w:val="0"/>
                <w:i w:val="0"/>
                <w:color w:val="1B2A32"/>
                <w:sz w:val="18"/>
              </w:rPr>
              <w:t>Yes</w:t>
            </w:r>
          </w:p>
        </w:tc>
      </w:tr>
      <w:tr>
        <w:tc>
          <w:tcPr>
            <w:tcW w:type="dxa" w:w="5760"/>
            <w:shd w:val="clear" w:fill="F3F7F9"/>
          </w:tcPr>
          <w:p>
            <w:r/>
            <w:r>
              <w:rPr>
                <w:rFonts w:ascii="Calibri" w:hAnsi="Calibri"/>
                <w:b w:val="0"/>
                <w:i w:val="0"/>
                <w:color w:val="1B2A32"/>
                <w:sz w:val="18"/>
              </w:rPr>
              <w:t>6</w:t>
            </w:r>
          </w:p>
        </w:tc>
        <w:tc>
          <w:tcPr>
            <w:tcW w:type="dxa" w:w="57600"/>
            <w:shd w:val="clear" w:fill="F3F7F9"/>
          </w:tcPr>
          <w:p>
            <w:r/>
            <w:r>
              <w:rPr>
                <w:rFonts w:ascii="Calibri" w:hAnsi="Calibri"/>
                <w:b w:val="0"/>
                <w:i w:val="0"/>
                <w:color w:val="1B2A32"/>
                <w:sz w:val="18"/>
              </w:rPr>
              <w:t>Settlement waiver constraint enforced</w:t>
            </w:r>
          </w:p>
        </w:tc>
        <w:tc>
          <w:tcPr>
            <w:tcW w:type="dxa" w:w="17280"/>
            <w:shd w:val="clear" w:fill="F3F7F9"/>
          </w:tcPr>
          <w:p>
            <w:r/>
            <w:r>
              <w:rPr>
                <w:rFonts w:ascii="Calibri" w:hAnsi="Calibri"/>
                <w:b w:val="0"/>
                <w:i w:val="0"/>
                <w:color w:val="1B2A32"/>
                <w:sz w:val="18"/>
              </w:rPr>
              <w:t>CTO</w:t>
            </w:r>
          </w:p>
        </w:tc>
        <w:tc>
          <w:tcPr>
            <w:tcW w:type="dxa" w:w="34560"/>
            <w:shd w:val="clear" w:fill="F3F7F9"/>
          </w:tcPr>
          <w:p>
            <w:r/>
            <w:r>
              <w:rPr>
                <w:rFonts w:ascii="Calibri" w:hAnsi="Calibri"/>
                <w:b w:val="0"/>
                <w:i w:val="0"/>
                <w:color w:val="1B2A32"/>
                <w:sz w:val="18"/>
              </w:rPr>
              <w:t>Constraint test</w:t>
            </w:r>
          </w:p>
        </w:tc>
        <w:tc>
          <w:tcPr>
            <w:tcW w:type="dxa" w:w="14400"/>
            <w:shd w:val="clear" w:fill="F3F7F9"/>
          </w:tcPr>
          <w:p>
            <w:r/>
            <w:r>
              <w:rPr>
                <w:rFonts w:ascii="Calibri" w:hAnsi="Calibri"/>
                <w:b w:val="0"/>
                <w:i w:val="0"/>
                <w:color w:val="1B2A32"/>
                <w:sz w:val="18"/>
              </w:rPr>
              <w:t>Yes</w:t>
            </w:r>
          </w:p>
        </w:tc>
      </w:tr>
      <w:tr>
        <w:tc>
          <w:tcPr>
            <w:tcW w:type="dxa" w:w="5760"/>
          </w:tcPr>
          <w:p>
            <w:r/>
            <w:r>
              <w:rPr>
                <w:rFonts w:ascii="Calibri" w:hAnsi="Calibri"/>
                <w:b w:val="0"/>
                <w:i w:val="0"/>
                <w:color w:val="1B2A32"/>
                <w:sz w:val="18"/>
              </w:rPr>
              <w:t>7</w:t>
            </w:r>
          </w:p>
        </w:tc>
        <w:tc>
          <w:tcPr>
            <w:tcW w:type="dxa" w:w="57600"/>
          </w:tcPr>
          <w:p>
            <w:r/>
            <w:r>
              <w:rPr>
                <w:rFonts w:ascii="Calibri" w:hAnsi="Calibri"/>
                <w:b w:val="0"/>
                <w:i w:val="0"/>
                <w:color w:val="1B2A32"/>
                <w:sz w:val="18"/>
              </w:rPr>
              <w:t>Health-data store segregated, encrypted, access-logged; excluded from analytics and AI datasets</w:t>
            </w:r>
          </w:p>
        </w:tc>
        <w:tc>
          <w:tcPr>
            <w:tcW w:type="dxa" w:w="17280"/>
          </w:tcPr>
          <w:p>
            <w:r/>
            <w:r>
              <w:rPr>
                <w:rFonts w:ascii="Calibri" w:hAnsi="Calibri"/>
                <w:b w:val="0"/>
                <w:i w:val="0"/>
                <w:color w:val="1B2A32"/>
                <w:sz w:val="18"/>
              </w:rPr>
              <w:t>DPO / CTO</w:t>
            </w:r>
          </w:p>
        </w:tc>
        <w:tc>
          <w:tcPr>
            <w:tcW w:type="dxa" w:w="34560"/>
          </w:tcPr>
          <w:p>
            <w:r/>
            <w:r>
              <w:rPr>
                <w:rFonts w:ascii="Calibri" w:hAnsi="Calibri"/>
                <w:b w:val="0"/>
                <w:i w:val="0"/>
                <w:color w:val="1B2A32"/>
                <w:sz w:val="18"/>
              </w:rPr>
              <w:t>Architecture review; dataset scan</w:t>
            </w:r>
          </w:p>
        </w:tc>
        <w:tc>
          <w:tcPr>
            <w:tcW w:type="dxa" w:w="14400"/>
          </w:tcPr>
          <w:p>
            <w:r/>
            <w:r>
              <w:rPr>
                <w:rFonts w:ascii="Calibri" w:hAnsi="Calibri"/>
                <w:b w:val="0"/>
                <w:i w:val="0"/>
                <w:color w:val="1B2A32"/>
                <w:sz w:val="18"/>
              </w:rPr>
              <w:t>Yes</w:t>
            </w:r>
          </w:p>
        </w:tc>
      </w:tr>
      <w:tr>
        <w:tc>
          <w:tcPr>
            <w:tcW w:type="dxa" w:w="5760"/>
            <w:shd w:val="clear" w:fill="F3F7F9"/>
          </w:tcPr>
          <w:p>
            <w:r/>
            <w:r>
              <w:rPr>
                <w:rFonts w:ascii="Calibri" w:hAnsi="Calibri"/>
                <w:b w:val="0"/>
                <w:i w:val="0"/>
                <w:color w:val="1B2A32"/>
                <w:sz w:val="18"/>
              </w:rPr>
              <w:t>8</w:t>
            </w:r>
          </w:p>
        </w:tc>
        <w:tc>
          <w:tcPr>
            <w:tcW w:type="dxa" w:w="57600"/>
            <w:shd w:val="clear" w:fill="F3F7F9"/>
          </w:tcPr>
          <w:p>
            <w:r/>
            <w:r>
              <w:rPr>
                <w:rFonts w:ascii="Calibri" w:hAnsi="Calibri"/>
                <w:b/>
                <w:i w:val="0"/>
                <w:color w:val="1B2A32"/>
                <w:sz w:val="18"/>
              </w:rPr>
              <w:t>Vertical-specific DPIA approved</w:t>
            </w:r>
          </w:p>
        </w:tc>
        <w:tc>
          <w:tcPr>
            <w:tcW w:type="dxa" w:w="17280"/>
            <w:shd w:val="clear" w:fill="F3F7F9"/>
          </w:tcPr>
          <w:p>
            <w:r/>
            <w:r>
              <w:rPr>
                <w:rFonts w:ascii="Calibri" w:hAnsi="Calibri"/>
                <w:b w:val="0"/>
                <w:i w:val="0"/>
                <w:color w:val="1B2A32"/>
                <w:sz w:val="18"/>
              </w:rPr>
              <w:t>DPO</w:t>
            </w:r>
          </w:p>
        </w:tc>
        <w:tc>
          <w:tcPr>
            <w:tcW w:type="dxa" w:w="34560"/>
            <w:shd w:val="clear" w:fill="F3F7F9"/>
          </w:tcPr>
          <w:p>
            <w:r/>
            <w:r>
              <w:rPr>
                <w:rFonts w:ascii="Calibri" w:hAnsi="Calibri"/>
                <w:b w:val="0"/>
                <w:i w:val="0"/>
                <w:color w:val="1B2A32"/>
                <w:sz w:val="18"/>
              </w:rPr>
              <w:t>Board approval</w:t>
            </w:r>
          </w:p>
        </w:tc>
        <w:tc>
          <w:tcPr>
            <w:tcW w:type="dxa" w:w="14400"/>
            <w:shd w:val="clear" w:fill="F3F7F9"/>
          </w:tcPr>
          <w:p>
            <w:r/>
            <w:r>
              <w:rPr>
                <w:rFonts w:ascii="Calibri" w:hAnsi="Calibri"/>
                <w:b w:val="0"/>
                <w:i w:val="0"/>
                <w:color w:val="1B2A32"/>
                <w:sz w:val="18"/>
              </w:rPr>
              <w:t>Yes</w:t>
            </w:r>
          </w:p>
        </w:tc>
      </w:tr>
      <w:tr>
        <w:tc>
          <w:tcPr>
            <w:tcW w:type="dxa" w:w="5760"/>
          </w:tcPr>
          <w:p>
            <w:r/>
            <w:r>
              <w:rPr>
                <w:rFonts w:ascii="Calibri" w:hAnsi="Calibri"/>
                <w:b w:val="0"/>
                <w:i w:val="0"/>
                <w:color w:val="1B2A32"/>
                <w:sz w:val="18"/>
              </w:rPr>
              <w:t>9</w:t>
            </w:r>
          </w:p>
        </w:tc>
        <w:tc>
          <w:tcPr>
            <w:tcW w:type="dxa" w:w="57600"/>
          </w:tcPr>
          <w:p>
            <w:r/>
            <w:r>
              <w:rPr>
                <w:rFonts w:ascii="Calibri" w:hAnsi="Calibri"/>
                <w:b w:val="0"/>
                <w:i w:val="0"/>
                <w:color w:val="1B2A32"/>
                <w:sz w:val="18"/>
              </w:rPr>
              <w:t>AI guardrails IN-G-01 to IN-G-12 pass the adversarial harness with zero failures on 02, 03, 04, 07</w:t>
            </w:r>
          </w:p>
        </w:tc>
        <w:tc>
          <w:tcPr>
            <w:tcW w:type="dxa" w:w="17280"/>
          </w:tcPr>
          <w:p>
            <w:r/>
            <w:r>
              <w:rPr>
                <w:rFonts w:ascii="Calibri" w:hAnsi="Calibri"/>
                <w:b w:val="0"/>
                <w:i w:val="0"/>
                <w:color w:val="1B2A32"/>
                <w:sz w:val="18"/>
              </w:rPr>
              <w:t>CTO</w:t>
            </w:r>
          </w:p>
        </w:tc>
        <w:tc>
          <w:tcPr>
            <w:tcW w:type="dxa" w:w="34560"/>
          </w:tcPr>
          <w:p>
            <w:r/>
            <w:r>
              <w:rPr>
                <w:rFonts w:ascii="Calibri" w:hAnsi="Calibri"/>
                <w:b w:val="0"/>
                <w:i w:val="0"/>
                <w:color w:val="1B2A32"/>
                <w:sz w:val="18"/>
              </w:rPr>
              <w:t>Harness report</w:t>
            </w:r>
          </w:p>
        </w:tc>
        <w:tc>
          <w:tcPr>
            <w:tcW w:type="dxa" w:w="14400"/>
          </w:tcPr>
          <w:p>
            <w:r/>
            <w:r>
              <w:rPr>
                <w:rFonts w:ascii="Calibri" w:hAnsi="Calibri"/>
                <w:b w:val="0"/>
                <w:i w:val="0"/>
                <w:color w:val="1B2A32"/>
                <w:sz w:val="18"/>
              </w:rPr>
              <w:t>Yes</w:t>
            </w:r>
          </w:p>
        </w:tc>
      </w:tr>
      <w:tr>
        <w:tc>
          <w:tcPr>
            <w:tcW w:type="dxa" w:w="5760"/>
            <w:shd w:val="clear" w:fill="F3F7F9"/>
          </w:tcPr>
          <w:p>
            <w:r/>
            <w:r>
              <w:rPr>
                <w:rFonts w:ascii="Calibri" w:hAnsi="Calibri"/>
                <w:b w:val="0"/>
                <w:i w:val="0"/>
                <w:color w:val="1B2A32"/>
                <w:sz w:val="18"/>
              </w:rPr>
              <w:t>10</w:t>
            </w:r>
          </w:p>
        </w:tc>
        <w:tc>
          <w:tcPr>
            <w:tcW w:type="dxa" w:w="57600"/>
            <w:shd w:val="clear" w:fill="F3F7F9"/>
          </w:tcPr>
          <w:p>
            <w:r/>
            <w:r>
              <w:rPr>
                <w:rFonts w:ascii="Calibri" w:hAnsi="Calibri"/>
                <w:b w:val="0"/>
                <w:i w:val="0"/>
                <w:color w:val="1B2A32"/>
                <w:sz w:val="18"/>
              </w:rPr>
              <w:t>Forms F-I01 to F-I20 legally reviewed and version-controlled</w:t>
            </w:r>
          </w:p>
        </w:tc>
        <w:tc>
          <w:tcPr>
            <w:tcW w:type="dxa" w:w="17280"/>
            <w:shd w:val="clear" w:fill="F3F7F9"/>
          </w:tcPr>
          <w:p>
            <w:r/>
            <w:r>
              <w:rPr>
                <w:rFonts w:ascii="Calibri" w:hAnsi="Calibri"/>
                <w:b w:val="0"/>
                <w:i w:val="0"/>
                <w:color w:val="1B2A32"/>
                <w:sz w:val="18"/>
              </w:rPr>
              <w:t>GC</w:t>
            </w:r>
          </w:p>
        </w:tc>
        <w:tc>
          <w:tcPr>
            <w:tcW w:type="dxa" w:w="34560"/>
            <w:shd w:val="clear" w:fill="F3F7F9"/>
          </w:tcPr>
          <w:p>
            <w:r/>
            <w:r>
              <w:rPr>
                <w:rFonts w:ascii="Calibri" w:hAnsi="Calibri"/>
                <w:b w:val="0"/>
                <w:i w:val="0"/>
                <w:color w:val="1B2A32"/>
                <w:sz w:val="18"/>
              </w:rPr>
              <w:t>Sign-off register</w:t>
            </w:r>
          </w:p>
        </w:tc>
        <w:tc>
          <w:tcPr>
            <w:tcW w:type="dxa" w:w="14400"/>
            <w:shd w:val="clear" w:fill="F3F7F9"/>
          </w:tcPr>
          <w:p>
            <w:r/>
            <w:r>
              <w:rPr>
                <w:rFonts w:ascii="Calibri" w:hAnsi="Calibri"/>
                <w:b w:val="0"/>
                <w:i w:val="0"/>
                <w:color w:val="1B2A32"/>
                <w:sz w:val="18"/>
              </w:rPr>
              <w:t>Yes</w:t>
            </w:r>
          </w:p>
        </w:tc>
      </w:tr>
      <w:tr>
        <w:tc>
          <w:tcPr>
            <w:tcW w:type="dxa" w:w="5760"/>
          </w:tcPr>
          <w:p>
            <w:r/>
            <w:r>
              <w:rPr>
                <w:rFonts w:ascii="Calibri" w:hAnsi="Calibri"/>
                <w:b w:val="0"/>
                <w:i w:val="0"/>
                <w:color w:val="1B2A32"/>
                <w:sz w:val="18"/>
              </w:rPr>
              <w:t>11</w:t>
            </w:r>
          </w:p>
        </w:tc>
        <w:tc>
          <w:tcPr>
            <w:tcW w:type="dxa" w:w="57600"/>
          </w:tcPr>
          <w:p>
            <w:r/>
            <w:r>
              <w:rPr>
                <w:rFonts w:ascii="Calibri" w:hAnsi="Calibri"/>
                <w:b w:val="0"/>
                <w:i w:val="0"/>
                <w:color w:val="1B2A32"/>
                <w:sz w:val="18"/>
              </w:rPr>
              <w:t>First 12 ECIN-accredited neutrals certified, with at least 3 from a consumer-side background</w:t>
            </w:r>
          </w:p>
        </w:tc>
        <w:tc>
          <w:tcPr>
            <w:tcW w:type="dxa" w:w="17280"/>
          </w:tcPr>
          <w:p>
            <w:r/>
            <w:r>
              <w:rPr>
                <w:rFonts w:ascii="Calibri" w:hAnsi="Calibri"/>
                <w:b w:val="0"/>
                <w:i w:val="0"/>
                <w:color w:val="1B2A32"/>
                <w:sz w:val="18"/>
              </w:rPr>
              <w:t>Head of Panel</w:t>
            </w:r>
          </w:p>
        </w:tc>
        <w:tc>
          <w:tcPr>
            <w:tcW w:type="dxa" w:w="34560"/>
          </w:tcPr>
          <w:p>
            <w:r/>
            <w:r>
              <w:rPr>
                <w:rFonts w:ascii="Calibri" w:hAnsi="Calibri"/>
                <w:b w:val="0"/>
                <w:i w:val="0"/>
                <w:color w:val="1B2A32"/>
                <w:sz w:val="18"/>
              </w:rPr>
              <w:t>Certificates; disclosures</w:t>
            </w:r>
          </w:p>
        </w:tc>
        <w:tc>
          <w:tcPr>
            <w:tcW w:type="dxa" w:w="14400"/>
          </w:tcPr>
          <w:p>
            <w:r/>
            <w:r>
              <w:rPr>
                <w:rFonts w:ascii="Calibri" w:hAnsi="Calibri"/>
                <w:b w:val="0"/>
                <w:i w:val="0"/>
                <w:color w:val="1B2A32"/>
                <w:sz w:val="18"/>
              </w:rPr>
              <w:t>Yes</w:t>
            </w:r>
          </w:p>
        </w:tc>
      </w:tr>
      <w:tr>
        <w:tc>
          <w:tcPr>
            <w:tcW w:type="dxa" w:w="5760"/>
            <w:shd w:val="clear" w:fill="F3F7F9"/>
          </w:tcPr>
          <w:p>
            <w:r/>
            <w:r>
              <w:rPr>
                <w:rFonts w:ascii="Calibri" w:hAnsi="Calibri"/>
                <w:b w:val="0"/>
                <w:i w:val="0"/>
                <w:color w:val="1B2A32"/>
                <w:sz w:val="18"/>
              </w:rPr>
              <w:t>12</w:t>
            </w:r>
          </w:p>
        </w:tc>
        <w:tc>
          <w:tcPr>
            <w:tcW w:type="dxa" w:w="57600"/>
            <w:shd w:val="clear" w:fill="F3F7F9"/>
          </w:tcPr>
          <w:p>
            <w:r/>
            <w:r>
              <w:rPr>
                <w:rFonts w:ascii="Calibri" w:hAnsi="Calibri"/>
                <w:b w:val="0"/>
                <w:i w:val="0"/>
                <w:color w:val="1B2A32"/>
                <w:sz w:val="18"/>
              </w:rPr>
              <w:t>Neutral concentration cap and rotation rule configured</w:t>
            </w:r>
          </w:p>
        </w:tc>
        <w:tc>
          <w:tcPr>
            <w:tcW w:type="dxa" w:w="17280"/>
            <w:shd w:val="clear" w:fill="F3F7F9"/>
          </w:tcPr>
          <w:p>
            <w:r/>
            <w:r>
              <w:rPr>
                <w:rFonts w:ascii="Calibri" w:hAnsi="Calibri"/>
                <w:b w:val="0"/>
                <w:i w:val="0"/>
                <w:color w:val="1B2A32"/>
                <w:sz w:val="18"/>
              </w:rPr>
              <w:t>Head of Panel</w:t>
            </w:r>
          </w:p>
        </w:tc>
        <w:tc>
          <w:tcPr>
            <w:tcW w:type="dxa" w:w="34560"/>
            <w:shd w:val="clear" w:fill="F3F7F9"/>
          </w:tcPr>
          <w:p>
            <w:r/>
            <w:r>
              <w:rPr>
                <w:rFonts w:ascii="Calibri" w:hAnsi="Calibri"/>
                <w:b w:val="0"/>
                <w:i w:val="0"/>
                <w:color w:val="1B2A32"/>
                <w:sz w:val="18"/>
              </w:rPr>
              <w:t>System configuration</w:t>
            </w:r>
          </w:p>
        </w:tc>
        <w:tc>
          <w:tcPr>
            <w:tcW w:type="dxa" w:w="14400"/>
            <w:shd w:val="clear" w:fill="F3F7F9"/>
          </w:tcPr>
          <w:p>
            <w:r/>
            <w:r>
              <w:rPr>
                <w:rFonts w:ascii="Calibri" w:hAnsi="Calibri"/>
                <w:b w:val="0"/>
                <w:i w:val="0"/>
                <w:color w:val="1B2A32"/>
                <w:sz w:val="18"/>
              </w:rPr>
              <w:t>Yes</w:t>
            </w:r>
          </w:p>
        </w:tc>
      </w:tr>
      <w:tr>
        <w:tc>
          <w:tcPr>
            <w:tcW w:type="dxa" w:w="5760"/>
          </w:tcPr>
          <w:p>
            <w:r/>
            <w:r>
              <w:rPr>
                <w:rFonts w:ascii="Calibri" w:hAnsi="Calibri"/>
                <w:b w:val="0"/>
                <w:i w:val="0"/>
                <w:color w:val="1B2A32"/>
                <w:sz w:val="18"/>
              </w:rPr>
              <w:t>13</w:t>
            </w:r>
          </w:p>
        </w:tc>
        <w:tc>
          <w:tcPr>
            <w:tcW w:type="dxa" w:w="57600"/>
          </w:tcPr>
          <w:p>
            <w:r/>
            <w:r>
              <w:rPr>
                <w:rFonts w:ascii="Calibri" w:hAnsi="Calibri"/>
                <w:b w:val="0"/>
                <w:i w:val="0"/>
                <w:color w:val="1B2A32"/>
                <w:sz w:val="18"/>
              </w:rPr>
              <w:t>Escrow account opened; reconciliation process tested</w:t>
            </w:r>
          </w:p>
        </w:tc>
        <w:tc>
          <w:tcPr>
            <w:tcW w:type="dxa" w:w="17280"/>
          </w:tcPr>
          <w:p>
            <w:r/>
            <w:r>
              <w:rPr>
                <w:rFonts w:ascii="Calibri" w:hAnsi="Calibri"/>
                <w:b w:val="0"/>
                <w:i w:val="0"/>
                <w:color w:val="1B2A32"/>
                <w:sz w:val="18"/>
              </w:rPr>
              <w:t>CFO</w:t>
            </w:r>
          </w:p>
        </w:tc>
        <w:tc>
          <w:tcPr>
            <w:tcW w:type="dxa" w:w="34560"/>
          </w:tcPr>
          <w:p>
            <w:r/>
            <w:r>
              <w:rPr>
                <w:rFonts w:ascii="Calibri" w:hAnsi="Calibri"/>
                <w:b w:val="0"/>
                <w:i w:val="0"/>
                <w:color w:val="1B2A32"/>
                <w:sz w:val="18"/>
              </w:rPr>
              <w:t>Bank confirmation</w:t>
            </w:r>
          </w:p>
        </w:tc>
        <w:tc>
          <w:tcPr>
            <w:tcW w:type="dxa" w:w="14400"/>
          </w:tcPr>
          <w:p>
            <w:r/>
            <w:r>
              <w:rPr>
                <w:rFonts w:ascii="Calibri" w:hAnsi="Calibri"/>
                <w:b w:val="0"/>
                <w:i w:val="0"/>
                <w:color w:val="1B2A32"/>
                <w:sz w:val="18"/>
              </w:rPr>
              <w:t>Yes</w:t>
            </w:r>
          </w:p>
        </w:tc>
      </w:tr>
      <w:tr>
        <w:tc>
          <w:tcPr>
            <w:tcW w:type="dxa" w:w="5760"/>
            <w:shd w:val="clear" w:fill="F3F7F9"/>
          </w:tcPr>
          <w:p>
            <w:r/>
            <w:r>
              <w:rPr>
                <w:rFonts w:ascii="Calibri" w:hAnsi="Calibri"/>
                <w:b w:val="0"/>
                <w:i w:val="0"/>
                <w:color w:val="1B2A32"/>
                <w:sz w:val="18"/>
              </w:rPr>
              <w:t>14</w:t>
            </w:r>
          </w:p>
        </w:tc>
        <w:tc>
          <w:tcPr>
            <w:tcW w:type="dxa" w:w="57600"/>
            <w:shd w:val="clear" w:fill="F3F7F9"/>
          </w:tcPr>
          <w:p>
            <w:r/>
            <w:r>
              <w:rPr>
                <w:rFonts w:ascii="Calibri" w:hAnsi="Calibri"/>
                <w:b w:val="0"/>
                <w:i w:val="0"/>
                <w:color w:val="1B2A32"/>
                <w:sz w:val="18"/>
              </w:rPr>
              <w:t>e-Sign and e-Stamp integrations tested end to end</w:t>
            </w:r>
          </w:p>
        </w:tc>
        <w:tc>
          <w:tcPr>
            <w:tcW w:type="dxa" w:w="17280"/>
            <w:shd w:val="clear" w:fill="F3F7F9"/>
          </w:tcPr>
          <w:p>
            <w:r/>
            <w:r>
              <w:rPr>
                <w:rFonts w:ascii="Calibri" w:hAnsi="Calibri"/>
                <w:b w:val="0"/>
                <w:i w:val="0"/>
                <w:color w:val="1B2A32"/>
                <w:sz w:val="18"/>
              </w:rPr>
              <w:t>CTO</w:t>
            </w:r>
          </w:p>
        </w:tc>
        <w:tc>
          <w:tcPr>
            <w:tcW w:type="dxa" w:w="34560"/>
            <w:shd w:val="clear" w:fill="F3F7F9"/>
          </w:tcPr>
          <w:p>
            <w:r/>
            <w:r>
              <w:rPr>
                <w:rFonts w:ascii="Calibri" w:hAnsi="Calibri"/>
                <w:b w:val="0"/>
                <w:i w:val="0"/>
                <w:color w:val="1B2A32"/>
                <w:sz w:val="18"/>
              </w:rPr>
              <w:t>Test evidence</w:t>
            </w:r>
          </w:p>
        </w:tc>
        <w:tc>
          <w:tcPr>
            <w:tcW w:type="dxa" w:w="14400"/>
            <w:shd w:val="clear" w:fill="F3F7F9"/>
          </w:tcPr>
          <w:p>
            <w:r/>
            <w:r>
              <w:rPr>
                <w:rFonts w:ascii="Calibri" w:hAnsi="Calibri"/>
                <w:b w:val="0"/>
                <w:i w:val="0"/>
                <w:color w:val="1B2A32"/>
                <w:sz w:val="18"/>
              </w:rPr>
              <w:t>No</w:t>
            </w:r>
          </w:p>
        </w:tc>
      </w:tr>
      <w:tr>
        <w:tc>
          <w:tcPr>
            <w:tcW w:type="dxa" w:w="5760"/>
          </w:tcPr>
          <w:p>
            <w:r/>
            <w:r>
              <w:rPr>
                <w:rFonts w:ascii="Calibri" w:hAnsi="Calibri"/>
                <w:b w:val="0"/>
                <w:i w:val="0"/>
                <w:color w:val="1B2A32"/>
                <w:sz w:val="18"/>
              </w:rPr>
              <w:t>15</w:t>
            </w:r>
          </w:p>
        </w:tc>
        <w:tc>
          <w:tcPr>
            <w:tcW w:type="dxa" w:w="57600"/>
          </w:tcPr>
          <w:p>
            <w:r/>
            <w:r>
              <w:rPr>
                <w:rFonts w:ascii="Calibri" w:hAnsi="Calibri"/>
                <w:b w:val="0"/>
                <w:i w:val="0"/>
                <w:color w:val="1B2A32"/>
                <w:sz w:val="18"/>
              </w:rPr>
              <w:t>At least one insurer institutional protocol signed</w:t>
            </w:r>
          </w:p>
        </w:tc>
        <w:tc>
          <w:tcPr>
            <w:tcW w:type="dxa" w:w="17280"/>
          </w:tcPr>
          <w:p>
            <w:r/>
            <w:r>
              <w:rPr>
                <w:rFonts w:ascii="Calibri" w:hAnsi="Calibri"/>
                <w:b w:val="0"/>
                <w:i w:val="0"/>
                <w:color w:val="1B2A32"/>
                <w:sz w:val="18"/>
              </w:rPr>
              <w:t>Head of BD</w:t>
            </w:r>
          </w:p>
        </w:tc>
        <w:tc>
          <w:tcPr>
            <w:tcW w:type="dxa" w:w="34560"/>
          </w:tcPr>
          <w:p>
            <w:r/>
            <w:r>
              <w:rPr>
                <w:rFonts w:ascii="Calibri" w:hAnsi="Calibri"/>
                <w:b w:val="0"/>
                <w:i w:val="0"/>
                <w:color w:val="1B2A32"/>
                <w:sz w:val="18"/>
              </w:rPr>
              <w:t>Executed protocol</w:t>
            </w:r>
          </w:p>
        </w:tc>
        <w:tc>
          <w:tcPr>
            <w:tcW w:type="dxa" w:w="14400"/>
          </w:tcPr>
          <w:p>
            <w:r/>
            <w:r>
              <w:rPr>
                <w:rFonts w:ascii="Calibri" w:hAnsi="Calibri"/>
                <w:b w:val="0"/>
                <w:i w:val="0"/>
                <w:color w:val="1B2A32"/>
                <w:sz w:val="18"/>
              </w:rPr>
              <w:t>No</w:t>
            </w:r>
          </w:p>
        </w:tc>
      </w:tr>
      <w:tr>
        <w:tc>
          <w:tcPr>
            <w:tcW w:type="dxa" w:w="5760"/>
            <w:shd w:val="clear" w:fill="F3F7F9"/>
          </w:tcPr>
          <w:p>
            <w:r/>
            <w:r>
              <w:rPr>
                <w:rFonts w:ascii="Calibri" w:hAnsi="Calibri"/>
                <w:b w:val="0"/>
                <w:i w:val="0"/>
                <w:color w:val="1B2A32"/>
                <w:sz w:val="18"/>
              </w:rPr>
              <w:t>16</w:t>
            </w:r>
          </w:p>
        </w:tc>
        <w:tc>
          <w:tcPr>
            <w:tcW w:type="dxa" w:w="57600"/>
            <w:shd w:val="clear" w:fill="F3F7F9"/>
          </w:tcPr>
          <w:p>
            <w:r/>
            <w:r>
              <w:rPr>
                <w:rFonts w:ascii="Calibri" w:hAnsi="Calibri"/>
                <w:b w:val="0"/>
                <w:i w:val="0"/>
                <w:color w:val="1B2A32"/>
                <w:sz w:val="18"/>
              </w:rPr>
              <w:t>Hindi leaflet, website copy and bilingual explorer live</w:t>
            </w:r>
          </w:p>
        </w:tc>
        <w:tc>
          <w:tcPr>
            <w:tcW w:type="dxa" w:w="17280"/>
            <w:shd w:val="clear" w:fill="F3F7F9"/>
          </w:tcPr>
          <w:p>
            <w:r/>
            <w:r>
              <w:rPr>
                <w:rFonts w:ascii="Calibri" w:hAnsi="Calibri"/>
                <w:b w:val="0"/>
                <w:i w:val="0"/>
                <w:color w:val="1B2A32"/>
                <w:sz w:val="18"/>
              </w:rPr>
              <w:t>Head of Marketing</w:t>
            </w:r>
          </w:p>
        </w:tc>
        <w:tc>
          <w:tcPr>
            <w:tcW w:type="dxa" w:w="34560"/>
            <w:shd w:val="clear" w:fill="F3F7F9"/>
          </w:tcPr>
          <w:p>
            <w:r/>
            <w:r>
              <w:rPr>
                <w:rFonts w:ascii="Calibri" w:hAnsi="Calibri"/>
                <w:b w:val="0"/>
                <w:i w:val="0"/>
                <w:color w:val="1B2A32"/>
                <w:sz w:val="18"/>
              </w:rPr>
              <w:t>Live URLs</w:t>
            </w:r>
          </w:p>
        </w:tc>
        <w:tc>
          <w:tcPr>
            <w:tcW w:type="dxa" w:w="14400"/>
            <w:shd w:val="clear" w:fill="F3F7F9"/>
          </w:tcPr>
          <w:p>
            <w:r/>
            <w:r>
              <w:rPr>
                <w:rFonts w:ascii="Calibri" w:hAnsi="Calibri"/>
                <w:b w:val="0"/>
                <w:i w:val="0"/>
                <w:color w:val="1B2A32"/>
                <w:sz w:val="18"/>
              </w:rPr>
              <w:t>No</w:t>
            </w:r>
          </w:p>
        </w:tc>
      </w:tr>
      <w:tr>
        <w:tc>
          <w:tcPr>
            <w:tcW w:type="dxa" w:w="5760"/>
          </w:tcPr>
          <w:p>
            <w:r/>
            <w:r>
              <w:rPr>
                <w:rFonts w:ascii="Calibri" w:hAnsi="Calibri"/>
                <w:b w:val="0"/>
                <w:i w:val="0"/>
                <w:color w:val="1B2A32"/>
                <w:sz w:val="18"/>
              </w:rPr>
              <w:t>17</w:t>
            </w:r>
          </w:p>
        </w:tc>
        <w:tc>
          <w:tcPr>
            <w:tcW w:type="dxa" w:w="57600"/>
          </w:tcPr>
          <w:p>
            <w:r/>
            <w:r>
              <w:rPr>
                <w:rFonts w:ascii="Calibri" w:hAnsi="Calibri"/>
                <w:b w:val="0"/>
                <w:i w:val="0"/>
                <w:color w:val="1B2A32"/>
                <w:sz w:val="18"/>
              </w:rPr>
              <w:t>Complaints process against Equator published</w:t>
            </w:r>
          </w:p>
        </w:tc>
        <w:tc>
          <w:tcPr>
            <w:tcW w:type="dxa" w:w="17280"/>
          </w:tcPr>
          <w:p>
            <w:r/>
            <w:r>
              <w:rPr>
                <w:rFonts w:ascii="Calibri" w:hAnsi="Calibri"/>
                <w:b w:val="0"/>
                <w:i w:val="0"/>
                <w:color w:val="1B2A32"/>
                <w:sz w:val="18"/>
              </w:rPr>
              <w:t>GC</w:t>
            </w:r>
          </w:p>
        </w:tc>
        <w:tc>
          <w:tcPr>
            <w:tcW w:type="dxa" w:w="34560"/>
          </w:tcPr>
          <w:p>
            <w:r/>
            <w:r>
              <w:rPr>
                <w:rFonts w:ascii="Calibri" w:hAnsi="Calibri"/>
                <w:b w:val="0"/>
                <w:i w:val="0"/>
                <w:color w:val="1B2A32"/>
                <w:sz w:val="18"/>
              </w:rPr>
              <w:t>Website</w:t>
            </w:r>
          </w:p>
        </w:tc>
        <w:tc>
          <w:tcPr>
            <w:tcW w:type="dxa" w:w="14400"/>
          </w:tcPr>
          <w:p>
            <w:r/>
            <w:r>
              <w:rPr>
                <w:rFonts w:ascii="Calibri" w:hAnsi="Calibri"/>
                <w:b w:val="0"/>
                <w:i w:val="0"/>
                <w:color w:val="1B2A32"/>
                <w:sz w:val="18"/>
              </w:rPr>
              <w:t>Yes</w:t>
            </w:r>
          </w:p>
        </w:tc>
      </w:tr>
      <w:tr>
        <w:tc>
          <w:tcPr>
            <w:tcW w:type="dxa" w:w="5760"/>
            <w:shd w:val="clear" w:fill="F3F7F9"/>
          </w:tcPr>
          <w:p>
            <w:r/>
            <w:r>
              <w:rPr>
                <w:rFonts w:ascii="Calibri" w:hAnsi="Calibri"/>
                <w:b w:val="0"/>
                <w:i w:val="0"/>
                <w:color w:val="1B2A32"/>
                <w:sz w:val="18"/>
              </w:rPr>
              <w:t>18</w:t>
            </w:r>
          </w:p>
        </w:tc>
        <w:tc>
          <w:tcPr>
            <w:tcW w:type="dxa" w:w="57600"/>
            <w:shd w:val="clear" w:fill="F3F7F9"/>
          </w:tcPr>
          <w:p>
            <w:r/>
            <w:r>
              <w:rPr>
                <w:rFonts w:ascii="Calibri" w:hAnsi="Calibri"/>
                <w:b w:val="0"/>
                <w:i w:val="0"/>
                <w:color w:val="1B2A32"/>
                <w:sz w:val="18"/>
              </w:rPr>
              <w:t>Quarterly outcome-publication pipeline built</w:t>
            </w:r>
          </w:p>
        </w:tc>
        <w:tc>
          <w:tcPr>
            <w:tcW w:type="dxa" w:w="17280"/>
            <w:shd w:val="clear" w:fill="F3F7F9"/>
          </w:tcPr>
          <w:p>
            <w:r/>
            <w:r>
              <w:rPr>
                <w:rFonts w:ascii="Calibri" w:hAnsi="Calibri"/>
                <w:b w:val="0"/>
                <w:i w:val="0"/>
                <w:color w:val="1B2A32"/>
                <w:sz w:val="18"/>
              </w:rPr>
              <w:t>CTO</w:t>
            </w:r>
          </w:p>
        </w:tc>
        <w:tc>
          <w:tcPr>
            <w:tcW w:type="dxa" w:w="34560"/>
            <w:shd w:val="clear" w:fill="F3F7F9"/>
          </w:tcPr>
          <w:p>
            <w:r/>
            <w:r>
              <w:rPr>
                <w:rFonts w:ascii="Calibri" w:hAnsi="Calibri"/>
                <w:b w:val="0"/>
                <w:i w:val="0"/>
                <w:color w:val="1B2A32"/>
                <w:sz w:val="18"/>
              </w:rPr>
              <w:t>Sample report</w:t>
            </w:r>
          </w:p>
        </w:tc>
        <w:tc>
          <w:tcPr>
            <w:tcW w:type="dxa" w:w="14400"/>
            <w:shd w:val="clear" w:fill="F3F7F9"/>
          </w:tcPr>
          <w:p>
            <w:r/>
            <w:r>
              <w:rPr>
                <w:rFonts w:ascii="Calibri" w:hAnsi="Calibri"/>
                <w:b w:val="0"/>
                <w:i w:val="0"/>
                <w:color w:val="1B2A32"/>
                <w:sz w:val="18"/>
              </w:rPr>
              <w:t>No</w:t>
            </w:r>
          </w:p>
        </w:tc>
      </w:tr>
      <w:tr>
        <w:tc>
          <w:tcPr>
            <w:tcW w:type="dxa" w:w="5760"/>
          </w:tcPr>
          <w:p>
            <w:r/>
            <w:r>
              <w:rPr>
                <w:rFonts w:ascii="Calibri" w:hAnsi="Calibri"/>
                <w:b w:val="0"/>
                <w:i w:val="0"/>
                <w:color w:val="1B2A32"/>
                <w:sz w:val="18"/>
              </w:rPr>
              <w:t>19</w:t>
            </w:r>
          </w:p>
        </w:tc>
        <w:tc>
          <w:tcPr>
            <w:tcW w:type="dxa" w:w="57600"/>
          </w:tcPr>
          <w:p>
            <w:r/>
            <w:r>
              <w:rPr>
                <w:rFonts w:ascii="Calibri" w:hAnsi="Calibri"/>
                <w:b w:val="0"/>
                <w:i w:val="0"/>
                <w:color w:val="1B2A32"/>
                <w:sz w:val="18"/>
              </w:rPr>
              <w:t>Incident-response runbook rehearsed for the two critical scenarios</w:t>
            </w:r>
          </w:p>
        </w:tc>
        <w:tc>
          <w:tcPr>
            <w:tcW w:type="dxa" w:w="17280"/>
          </w:tcPr>
          <w:p>
            <w:r/>
            <w:r>
              <w:rPr>
                <w:rFonts w:ascii="Calibri" w:hAnsi="Calibri"/>
                <w:b w:val="0"/>
                <w:i w:val="0"/>
                <w:color w:val="1B2A32"/>
                <w:sz w:val="18"/>
              </w:rPr>
              <w:t>Head of Ops</w:t>
            </w:r>
          </w:p>
        </w:tc>
        <w:tc>
          <w:tcPr>
            <w:tcW w:type="dxa" w:w="34560"/>
          </w:tcPr>
          <w:p>
            <w:r/>
            <w:r>
              <w:rPr>
                <w:rFonts w:ascii="Calibri" w:hAnsi="Calibri"/>
                <w:b w:val="0"/>
                <w:i w:val="0"/>
                <w:color w:val="1B2A32"/>
                <w:sz w:val="18"/>
              </w:rPr>
              <w:t>Rehearsal record</w:t>
            </w:r>
          </w:p>
        </w:tc>
        <w:tc>
          <w:tcPr>
            <w:tcW w:type="dxa" w:w="14400"/>
          </w:tcPr>
          <w:p>
            <w:r/>
            <w:r>
              <w:rPr>
                <w:rFonts w:ascii="Calibri" w:hAnsi="Calibri"/>
                <w:b w:val="0"/>
                <w:i w:val="0"/>
                <w:color w:val="1B2A32"/>
                <w:sz w:val="18"/>
              </w:rPr>
              <w:t>Yes</w:t>
            </w:r>
          </w:p>
        </w:tc>
      </w:tr>
      <w:tr>
        <w:tc>
          <w:tcPr>
            <w:tcW w:type="dxa" w:w="5760"/>
            <w:shd w:val="clear" w:fill="F3F7F9"/>
          </w:tcPr>
          <w:p>
            <w:r/>
            <w:r>
              <w:rPr>
                <w:rFonts w:ascii="Calibri" w:hAnsi="Calibri"/>
                <w:b w:val="0"/>
                <w:i w:val="0"/>
                <w:color w:val="1B2A32"/>
                <w:sz w:val="18"/>
              </w:rPr>
              <w:t>20</w:t>
            </w:r>
          </w:p>
        </w:tc>
        <w:tc>
          <w:tcPr>
            <w:tcW w:type="dxa" w:w="57600"/>
            <w:shd w:val="clear" w:fill="F3F7F9"/>
          </w:tcPr>
          <w:p>
            <w:r/>
            <w:r>
              <w:rPr>
                <w:rFonts w:ascii="Calibri" w:hAnsi="Calibri"/>
                <w:b w:val="0"/>
                <w:i w:val="0"/>
                <w:color w:val="1B2A32"/>
                <w:sz w:val="18"/>
              </w:rPr>
              <w:t>[verify] register reviewed and every open item owned</w:t>
            </w:r>
          </w:p>
        </w:tc>
        <w:tc>
          <w:tcPr>
            <w:tcW w:type="dxa" w:w="17280"/>
            <w:shd w:val="clear" w:fill="F3F7F9"/>
          </w:tcPr>
          <w:p>
            <w:r/>
            <w:r>
              <w:rPr>
                <w:rFonts w:ascii="Calibri" w:hAnsi="Calibri"/>
                <w:b w:val="0"/>
                <w:i w:val="0"/>
                <w:color w:val="1B2A32"/>
                <w:sz w:val="18"/>
              </w:rPr>
              <w:t>GC</w:t>
            </w:r>
          </w:p>
        </w:tc>
        <w:tc>
          <w:tcPr>
            <w:tcW w:type="dxa" w:w="34560"/>
            <w:shd w:val="clear" w:fill="F3F7F9"/>
          </w:tcPr>
          <w:p>
            <w:r/>
            <w:r>
              <w:rPr>
                <w:rFonts w:ascii="Calibri" w:hAnsi="Calibri"/>
                <w:b w:val="0"/>
                <w:i w:val="0"/>
                <w:color w:val="1B2A32"/>
                <w:sz w:val="18"/>
              </w:rPr>
              <w:t>Register</w:t>
            </w:r>
          </w:p>
        </w:tc>
        <w:tc>
          <w:tcPr>
            <w:tcW w:type="dxa" w:w="14400"/>
            <w:shd w:val="clear" w:fill="F3F7F9"/>
          </w:tcPr>
          <w:p>
            <w:r/>
            <w:r>
              <w:rPr>
                <w:rFonts w:ascii="Calibri" w:hAnsi="Calibri"/>
                <w:b w:val="0"/>
                <w:i w:val="0"/>
                <w:color w:val="1B2A32"/>
                <w:sz w:val="18"/>
              </w:rPr>
              <w:t>Yes</w:t>
            </w:r>
          </w:p>
        </w:tc>
      </w:tr>
    </w:tbl>
    <w:p>
      <w:pPr>
        <w:spacing w:after="40"/>
      </w:pPr>
    </w:p>
    <w:p>
      <w:pPr>
        <w:keepNext/>
        <w:spacing w:before="280" w:after="120"/>
        <w:pBdr>
          <w:bottom w:val="single" w:sz="12" w:space="3" w:color="C6A15B"/>
        </w:pBdr>
      </w:pPr>
      <w:r>
        <w:rPr>
          <w:rFonts w:ascii="Calibri" w:hAnsi="Calibri"/>
          <w:b/>
          <w:i w:val="0"/>
          <w:color w:val="123B4F"/>
          <w:sz w:val="32"/>
        </w:rPr>
        <w:t>1.  Empanelment rubric</w:t>
      </w:r>
    </w:p>
    <w:p>
      <w:pPr>
        <w:spacing w:after="120"/>
        <w:jc w:val="both"/>
      </w:pPr>
      <w:r>
        <w:rPr>
          <w:rFonts w:ascii="Calibri" w:hAnsi="Calibri"/>
          <w:b w:val="0"/>
          <w:i w:val="0"/>
          <w:color w:val="1B2A32"/>
          <w:sz w:val="21"/>
        </w:rPr>
        <w:t xml:space="preserve">Scored out of 100. A candidate must score at least 65 overall </w:t>
      </w:r>
      <w:r>
        <w:rPr>
          <w:rFonts w:ascii="Calibri" w:hAnsi="Calibri"/>
          <w:b/>
          <w:i w:val="0"/>
          <w:color w:val="1B2A32"/>
          <w:sz w:val="21"/>
        </w:rPr>
        <w:t>and</w:t>
      </w:r>
      <w:r>
        <w:rPr>
          <w:rFonts w:ascii="Calibri" w:hAnsi="Calibri"/>
          <w:b w:val="0"/>
          <w:i w:val="0"/>
          <w:color w:val="1B2A32"/>
          <w:sz w:val="21"/>
        </w:rPr>
        <w:t xml:space="preserve"> at least 15 of 20 on independence.</w:t>
      </w:r>
    </w:p>
    <w:tbl>
      <w:tblPr>
        <w:tblStyle w:val="TableGrid"/>
        <w:tblW w:type="auto" w:w="0"/>
        <w:jc w:val="center"/>
        <w:tblLook w:firstColumn="1" w:firstRow="1" w:lastColumn="0" w:lastRow="0" w:noHBand="0" w:noVBand="1" w:val="04A0"/>
      </w:tblPr>
      <w:tblGrid>
        <w:gridCol w:w="3168"/>
        <w:gridCol w:w="3168"/>
        <w:gridCol w:w="3168"/>
      </w:tblGrid>
      <w:tr>
        <w:tc>
          <w:tcPr>
            <w:tcW w:type="dxa" w:w="37440"/>
            <w:shd w:val="clear" w:fill="123B4F"/>
          </w:tcPr>
          <w:p>
            <w:r/>
            <w:r>
              <w:rPr>
                <w:rFonts w:ascii="Calibri" w:hAnsi="Calibri"/>
                <w:b/>
                <w:i w:val="0"/>
                <w:color w:val="FFFFFF"/>
                <w:sz w:val="18"/>
              </w:rPr>
              <w:t>Criterion</w:t>
            </w:r>
          </w:p>
        </w:tc>
        <w:tc>
          <w:tcPr>
            <w:tcW w:type="dxa" w:w="11520"/>
            <w:shd w:val="clear" w:fill="123B4F"/>
          </w:tcPr>
          <w:p>
            <w:r/>
            <w:r>
              <w:rPr>
                <w:rFonts w:ascii="Calibri" w:hAnsi="Calibri"/>
                <w:b/>
                <w:i w:val="0"/>
                <w:color w:val="FFFFFF"/>
                <w:sz w:val="18"/>
              </w:rPr>
              <w:t>Max</w:t>
            </w:r>
          </w:p>
        </w:tc>
        <w:tc>
          <w:tcPr>
            <w:tcW w:type="dxa" w:w="95040"/>
            <w:shd w:val="clear" w:fill="123B4F"/>
          </w:tcPr>
          <w:p>
            <w:r/>
            <w:r>
              <w:rPr>
                <w:rFonts w:ascii="Calibri" w:hAnsi="Calibri"/>
                <w:b/>
                <w:i w:val="0"/>
                <w:color w:val="FFFFFF"/>
                <w:sz w:val="18"/>
              </w:rPr>
              <w:t>What earns the marks</w:t>
            </w:r>
          </w:p>
        </w:tc>
      </w:tr>
      <w:tr>
        <w:tc>
          <w:tcPr>
            <w:tcW w:type="dxa" w:w="37440"/>
          </w:tcPr>
          <w:p>
            <w:r/>
            <w:r>
              <w:rPr>
                <w:rFonts w:ascii="Calibri" w:hAnsi="Calibri"/>
                <w:b w:val="0"/>
                <w:i w:val="0"/>
                <w:color w:val="1B2A32"/>
                <w:sz w:val="18"/>
              </w:rPr>
              <w:t>Insurance domain depth</w:t>
            </w:r>
          </w:p>
        </w:tc>
        <w:tc>
          <w:tcPr>
            <w:tcW w:type="dxa" w:w="11520"/>
          </w:tcPr>
          <w:p>
            <w:r/>
            <w:r>
              <w:rPr>
                <w:rFonts w:ascii="Calibri" w:hAnsi="Calibri"/>
                <w:b w:val="0"/>
                <w:i w:val="0"/>
                <w:color w:val="1B2A32"/>
                <w:sz w:val="18"/>
              </w:rPr>
              <w:t>20</w:t>
            </w:r>
          </w:p>
        </w:tc>
        <w:tc>
          <w:tcPr>
            <w:tcW w:type="dxa" w:w="95040"/>
          </w:tcPr>
          <w:p>
            <w:r/>
            <w:r>
              <w:rPr>
                <w:rFonts w:ascii="Calibri" w:hAnsi="Calibri"/>
                <w:b w:val="0"/>
                <w:i w:val="0"/>
                <w:color w:val="1B2A32"/>
                <w:sz w:val="18"/>
              </w:rPr>
              <w:t>Claims, underwriting, surveying, medical or coverage-law experience, by years and by line</w:t>
            </w:r>
          </w:p>
        </w:tc>
      </w:tr>
      <w:tr>
        <w:tc>
          <w:tcPr>
            <w:tcW w:type="dxa" w:w="37440"/>
            <w:shd w:val="clear" w:fill="F3F7F9"/>
          </w:tcPr>
          <w:p>
            <w:r/>
            <w:r>
              <w:rPr>
                <w:rFonts w:ascii="Calibri" w:hAnsi="Calibri"/>
                <w:b w:val="0"/>
                <w:i w:val="0"/>
                <w:color w:val="1B2A32"/>
                <w:sz w:val="18"/>
              </w:rPr>
              <w:t>Mediation skill</w:t>
            </w:r>
          </w:p>
        </w:tc>
        <w:tc>
          <w:tcPr>
            <w:tcW w:type="dxa" w:w="11520"/>
            <w:shd w:val="clear" w:fill="F3F7F9"/>
          </w:tcPr>
          <w:p>
            <w:r/>
            <w:r>
              <w:rPr>
                <w:rFonts w:ascii="Calibri" w:hAnsi="Calibri"/>
                <w:b w:val="0"/>
                <w:i w:val="0"/>
                <w:color w:val="1B2A32"/>
                <w:sz w:val="18"/>
              </w:rPr>
              <w:t>25</w:t>
            </w:r>
          </w:p>
        </w:tc>
        <w:tc>
          <w:tcPr>
            <w:tcW w:type="dxa" w:w="95040"/>
            <w:shd w:val="clear" w:fill="F3F7F9"/>
          </w:tcPr>
          <w:p>
            <w:r/>
            <w:r>
              <w:rPr>
                <w:rFonts w:ascii="Calibri" w:hAnsi="Calibri"/>
                <w:b w:val="0"/>
                <w:i w:val="0"/>
                <w:color w:val="1B2A32"/>
                <w:sz w:val="18"/>
              </w:rPr>
              <w:t>Accredited training; observed role-play performance; prior settlement record</w:t>
            </w:r>
          </w:p>
        </w:tc>
      </w:tr>
      <w:tr>
        <w:tc>
          <w:tcPr>
            <w:tcW w:type="dxa" w:w="37440"/>
          </w:tcPr>
          <w:p>
            <w:r/>
            <w:r>
              <w:rPr>
                <w:rFonts w:ascii="Calibri" w:hAnsi="Calibri"/>
                <w:b/>
                <w:i w:val="0"/>
                <w:color w:val="1B2A32"/>
                <w:sz w:val="18"/>
              </w:rPr>
              <w:t>Independence</w:t>
            </w:r>
          </w:p>
        </w:tc>
        <w:tc>
          <w:tcPr>
            <w:tcW w:type="dxa" w:w="11520"/>
          </w:tcPr>
          <w:p>
            <w:r/>
            <w:r>
              <w:rPr>
                <w:rFonts w:ascii="Calibri" w:hAnsi="Calibri"/>
                <w:b w:val="0"/>
                <w:i w:val="0"/>
                <w:color w:val="1B2A32"/>
                <w:sz w:val="18"/>
              </w:rPr>
              <w:t>20</w:t>
            </w:r>
          </w:p>
        </w:tc>
        <w:tc>
          <w:tcPr>
            <w:tcW w:type="dxa" w:w="95040"/>
          </w:tcPr>
          <w:p>
            <w:r/>
            <w:r>
              <w:rPr>
                <w:rFonts w:ascii="Calibri" w:hAnsi="Calibri"/>
                <w:b w:val="0"/>
                <w:i w:val="0"/>
                <w:color w:val="1B2A32"/>
                <w:sz w:val="18"/>
              </w:rPr>
              <w:t xml:space="preserve">No current or recent relationship with an insurer; low appointment concentration; willingness to accept rotation and publication. </w:t>
            </w:r>
            <w:r>
              <w:rPr>
                <w:rFonts w:ascii="Calibri" w:hAnsi="Calibri"/>
                <w:b/>
                <w:i w:val="0"/>
                <w:color w:val="1B2A32"/>
                <w:sz w:val="18"/>
              </w:rPr>
              <w:t>Minimum 15 required — no compensation from other criteria</w:t>
            </w:r>
          </w:p>
        </w:tc>
      </w:tr>
      <w:tr>
        <w:tc>
          <w:tcPr>
            <w:tcW w:type="dxa" w:w="37440"/>
            <w:shd w:val="clear" w:fill="F3F7F9"/>
          </w:tcPr>
          <w:p>
            <w:r/>
            <w:r>
              <w:rPr>
                <w:rFonts w:ascii="Calibri" w:hAnsi="Calibri"/>
                <w:b w:val="0"/>
                <w:i w:val="0"/>
                <w:color w:val="1B2A32"/>
                <w:sz w:val="18"/>
              </w:rPr>
              <w:t>Balance of perspective</w:t>
            </w:r>
          </w:p>
        </w:tc>
        <w:tc>
          <w:tcPr>
            <w:tcW w:type="dxa" w:w="11520"/>
            <w:shd w:val="clear" w:fill="F3F7F9"/>
          </w:tcPr>
          <w:p>
            <w:r/>
            <w:r>
              <w:rPr>
                <w:rFonts w:ascii="Calibri" w:hAnsi="Calibri"/>
                <w:b w:val="0"/>
                <w:i w:val="0"/>
                <w:color w:val="1B2A32"/>
                <w:sz w:val="18"/>
              </w:rPr>
              <w:t>15</w:t>
            </w:r>
          </w:p>
        </w:tc>
        <w:tc>
          <w:tcPr>
            <w:tcW w:type="dxa" w:w="95040"/>
            <w:shd w:val="clear" w:fill="F3F7F9"/>
          </w:tcPr>
          <w:p>
            <w:r/>
            <w:r>
              <w:rPr>
                <w:rFonts w:ascii="Calibri" w:hAnsi="Calibri"/>
                <w:b w:val="0"/>
                <w:i w:val="0"/>
                <w:color w:val="1B2A32"/>
                <w:sz w:val="18"/>
              </w:rPr>
              <w:t>Evidence of having acted or advised on both sides, or a consumer-side background</w:t>
            </w:r>
          </w:p>
        </w:tc>
      </w:tr>
      <w:tr>
        <w:tc>
          <w:tcPr>
            <w:tcW w:type="dxa" w:w="37440"/>
          </w:tcPr>
          <w:p>
            <w:r/>
            <w:r>
              <w:rPr>
                <w:rFonts w:ascii="Calibri" w:hAnsi="Calibri"/>
                <w:b w:val="0"/>
                <w:i w:val="0"/>
                <w:color w:val="1B2A32"/>
                <w:sz w:val="18"/>
              </w:rPr>
              <w:t>Language and reach</w:t>
            </w:r>
          </w:p>
        </w:tc>
        <w:tc>
          <w:tcPr>
            <w:tcW w:type="dxa" w:w="11520"/>
          </w:tcPr>
          <w:p>
            <w:r/>
            <w:r>
              <w:rPr>
                <w:rFonts w:ascii="Calibri" w:hAnsi="Calibri"/>
                <w:b w:val="0"/>
                <w:i w:val="0"/>
                <w:color w:val="1B2A32"/>
                <w:sz w:val="18"/>
              </w:rPr>
              <w:t>10</w:t>
            </w:r>
          </w:p>
        </w:tc>
        <w:tc>
          <w:tcPr>
            <w:tcW w:type="dxa" w:w="95040"/>
          </w:tcPr>
          <w:p>
            <w:r/>
            <w:r>
              <w:rPr>
                <w:rFonts w:ascii="Calibri" w:hAnsi="Calibri"/>
                <w:b w:val="0"/>
                <w:i w:val="0"/>
                <w:color w:val="1B2A32"/>
                <w:sz w:val="18"/>
              </w:rPr>
              <w:t>Hindi and at least one regional language; availability outside metros</w:t>
            </w:r>
          </w:p>
        </w:tc>
      </w:tr>
      <w:tr>
        <w:tc>
          <w:tcPr>
            <w:tcW w:type="dxa" w:w="37440"/>
            <w:shd w:val="clear" w:fill="F3F7F9"/>
          </w:tcPr>
          <w:p>
            <w:r/>
            <w:r>
              <w:rPr>
                <w:rFonts w:ascii="Calibri" w:hAnsi="Calibri"/>
                <w:b w:val="0"/>
                <w:i w:val="0"/>
                <w:color w:val="1B2A32"/>
                <w:sz w:val="18"/>
              </w:rPr>
              <w:t>Availability and reliability</w:t>
            </w:r>
          </w:p>
        </w:tc>
        <w:tc>
          <w:tcPr>
            <w:tcW w:type="dxa" w:w="11520"/>
            <w:shd w:val="clear" w:fill="F3F7F9"/>
          </w:tcPr>
          <w:p>
            <w:r/>
            <w:r>
              <w:rPr>
                <w:rFonts w:ascii="Calibri" w:hAnsi="Calibri"/>
                <w:b w:val="0"/>
                <w:i w:val="0"/>
                <w:color w:val="1B2A32"/>
                <w:sz w:val="18"/>
              </w:rPr>
              <w:t>10</w:t>
            </w:r>
          </w:p>
        </w:tc>
        <w:tc>
          <w:tcPr>
            <w:tcW w:type="dxa" w:w="95040"/>
            <w:shd w:val="clear" w:fill="F3F7F9"/>
          </w:tcPr>
          <w:p>
            <w:r/>
            <w:r>
              <w:rPr>
                <w:rFonts w:ascii="Calibri" w:hAnsi="Calibri"/>
                <w:b w:val="0"/>
                <w:i w:val="0"/>
                <w:color w:val="1B2A32"/>
                <w:sz w:val="18"/>
              </w:rPr>
              <w:t>Response time; completed CPD; no adjournment history</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PANEL COMPOSITION TARGET</w:t>
            </w:r>
          </w:p>
          <w:p>
            <w:r>
              <w:rPr>
                <w:rFonts w:ascii="Calibri" w:hAnsi="Calibri"/>
                <w:b w:val="0"/>
                <w:i w:val="0"/>
                <w:color w:val="1B2A32"/>
                <w:sz w:val="19"/>
              </w:rPr>
              <w:t>Retired insurer officers 25% · surveyors and loss assessors 20% · lawyers with insurance practice 20% · consumer-side advocates and financial counsellors 15% · former Ombudsman office staff 10% · accredited medical professionals 10%. The consumer-side quota is not tokenism — it is the counterweight to repeat-player capture, and it must be filled before launch.</w:t>
            </w:r>
          </w:p>
        </w:tc>
      </w:tr>
    </w:tbl>
    <w:p>
      <w:pPr>
        <w:spacing w:after="40"/>
      </w:pPr>
    </w:p>
    <w:p>
      <w:pPr>
        <w:keepNext/>
        <w:spacing w:before="280" w:after="120"/>
        <w:pBdr>
          <w:bottom w:val="single" w:sz="12" w:space="3" w:color="C6A15B"/>
        </w:pBdr>
      </w:pPr>
      <w:r>
        <w:rPr>
          <w:rFonts w:ascii="Calibri" w:hAnsi="Calibri"/>
          <w:b/>
          <w:i w:val="0"/>
          <w:color w:val="123B4F"/>
          <w:sz w:val="32"/>
        </w:rPr>
        <w:t>2.  Insurer business development — the pitch</w:t>
      </w:r>
    </w:p>
    <w:p>
      <w:pPr>
        <w:keepNext/>
        <w:spacing w:before="200" w:after="60"/>
      </w:pPr>
      <w:r>
        <w:rPr>
          <w:rFonts w:ascii="Calibri" w:hAnsi="Calibri"/>
          <w:b/>
          <w:i w:val="0"/>
          <w:color w:val="1E7A8C"/>
          <w:sz w:val="25"/>
        </w:rPr>
        <w:t>2.1  The problem the insurer already has, budgeted</w:t>
      </w:r>
    </w:p>
    <w:p>
      <w:pPr>
        <w:pStyle w:val="ListBullet"/>
        <w:spacing w:after="60"/>
        <w:jc w:val="both"/>
      </w:pPr>
      <w:r>
        <w:rPr>
          <w:rFonts w:ascii="Calibri" w:hAnsi="Calibri"/>
          <w:b w:val="0"/>
          <w:i w:val="0"/>
          <w:color w:val="1B2A32"/>
          <w:sz w:val="21"/>
        </w:rPr>
        <w:t>Grievance volume that is reported and watched by the regulator.</w:t>
      </w:r>
    </w:p>
    <w:p>
      <w:pPr>
        <w:pStyle w:val="ListBullet"/>
        <w:spacing w:after="60"/>
        <w:jc w:val="both"/>
      </w:pPr>
      <w:r>
        <w:rPr>
          <w:rFonts w:ascii="Calibri" w:hAnsi="Calibri"/>
          <w:b w:val="0"/>
          <w:i w:val="0"/>
          <w:color w:val="1B2A32"/>
          <w:sz w:val="21"/>
        </w:rPr>
        <w:t>Ombudsman awards, with interest, and the compliance obligation within 30 days.</w:t>
      </w:r>
    </w:p>
    <w:p>
      <w:pPr>
        <w:pStyle w:val="ListBullet"/>
        <w:spacing w:after="60"/>
        <w:jc w:val="both"/>
      </w:pPr>
      <w:r>
        <w:rPr>
          <w:rFonts w:ascii="Calibri" w:hAnsi="Calibri"/>
          <w:b w:val="0"/>
          <w:i w:val="0"/>
          <w:color w:val="1B2A32"/>
          <w:sz w:val="21"/>
        </w:rPr>
        <w:t>Legal spend on consumer commission matters that are individually small and collectively large.</w:t>
      </w:r>
    </w:p>
    <w:p>
      <w:pPr>
        <w:pStyle w:val="ListBullet"/>
        <w:spacing w:after="60"/>
        <w:jc w:val="both"/>
      </w:pPr>
      <w:r>
        <w:rPr>
          <w:rFonts w:ascii="Calibri" w:hAnsi="Calibri"/>
          <w:b w:val="0"/>
          <w:i w:val="0"/>
          <w:color w:val="1B2A32"/>
          <w:sz w:val="21"/>
        </w:rPr>
        <w:t>Claims-officer time consumed by disputes that were always going to settle.</w:t>
      </w:r>
    </w:p>
    <w:p>
      <w:pPr>
        <w:pStyle w:val="ListBullet"/>
        <w:spacing w:after="60"/>
        <w:jc w:val="both"/>
      </w:pPr>
      <w:r>
        <w:rPr>
          <w:rFonts w:ascii="Calibri" w:hAnsi="Calibri"/>
          <w:b w:val="0"/>
          <w:i w:val="0"/>
          <w:color w:val="1B2A32"/>
          <w:sz w:val="21"/>
        </w:rPr>
        <w:t>A complaint metric that a new foreign investor will ask about in diligence.</w:t>
      </w:r>
    </w:p>
    <w:p>
      <w:pPr>
        <w:keepNext/>
        <w:spacing w:before="200" w:after="60"/>
      </w:pPr>
      <w:r>
        <w:rPr>
          <w:rFonts w:ascii="Calibri" w:hAnsi="Calibri"/>
          <w:b/>
          <w:i w:val="0"/>
          <w:color w:val="1E7A8C"/>
          <w:sz w:val="25"/>
        </w:rPr>
        <w:t>2.2  The four products, in the order they sell</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8800"/>
            <w:shd w:val="clear" w:fill="123B4F"/>
          </w:tcPr>
          <w:p>
            <w:r/>
            <w:r>
              <w:rPr>
                <w:rFonts w:ascii="Calibri" w:hAnsi="Calibri"/>
                <w:b/>
                <w:i w:val="0"/>
                <w:color w:val="FFFFFF"/>
                <w:sz w:val="18"/>
              </w:rPr>
              <w:t>Product</w:t>
            </w:r>
          </w:p>
        </w:tc>
        <w:tc>
          <w:tcPr>
            <w:tcW w:type="dxa" w:w="40320"/>
            <w:shd w:val="clear" w:fill="123B4F"/>
          </w:tcPr>
          <w:p>
            <w:r/>
            <w:r>
              <w:rPr>
                <w:rFonts w:ascii="Calibri" w:hAnsi="Calibri"/>
                <w:b/>
                <w:i w:val="0"/>
                <w:color w:val="FFFFFF"/>
                <w:sz w:val="18"/>
              </w:rPr>
              <w:t>The pitch</w:t>
            </w:r>
          </w:p>
        </w:tc>
        <w:tc>
          <w:tcPr>
            <w:tcW w:type="dxa" w:w="34560"/>
            <w:shd w:val="clear" w:fill="123B4F"/>
          </w:tcPr>
          <w:p>
            <w:r/>
            <w:r>
              <w:rPr>
                <w:rFonts w:ascii="Calibri" w:hAnsi="Calibri"/>
                <w:b/>
                <w:i w:val="0"/>
                <w:color w:val="FFFFFF"/>
                <w:sz w:val="18"/>
              </w:rPr>
              <w:t>Objection you will hear</w:t>
            </w:r>
          </w:p>
        </w:tc>
        <w:tc>
          <w:tcPr>
            <w:tcW w:type="dxa" w:w="40320"/>
            <w:shd w:val="clear" w:fill="123B4F"/>
          </w:tcPr>
          <w:p>
            <w:r/>
            <w:r>
              <w:rPr>
                <w:rFonts w:ascii="Calibri" w:hAnsi="Calibri"/>
                <w:b/>
                <w:i w:val="0"/>
                <w:color w:val="FFFFFF"/>
                <w:sz w:val="18"/>
              </w:rPr>
              <w:t>The answer</w:t>
            </w:r>
          </w:p>
        </w:tc>
      </w:tr>
      <w:tr>
        <w:tc>
          <w:tcPr>
            <w:tcW w:type="dxa" w:w="28800"/>
          </w:tcPr>
          <w:p>
            <w:r/>
            <w:r>
              <w:rPr>
                <w:rFonts w:ascii="Calibri" w:hAnsi="Calibri"/>
                <w:b/>
                <w:i w:val="0"/>
                <w:color w:val="1B2A32"/>
                <w:sz w:val="18"/>
              </w:rPr>
              <w:t>Batched settlement day</w:t>
            </w:r>
          </w:p>
        </w:tc>
        <w:tc>
          <w:tcPr>
            <w:tcW w:type="dxa" w:w="40320"/>
          </w:tcPr>
          <w:p>
            <w:r/>
            <w:r>
              <w:rPr>
                <w:rFonts w:ascii="Calibri" w:hAnsi="Calibri"/>
                <w:b w:val="0"/>
                <w:i w:val="0"/>
                <w:color w:val="1B2A32"/>
                <w:sz w:val="18"/>
              </w:rPr>
              <w:t>Thirty small contested files, one neutral, one day, a grid agreed in advance, thirty decree-grade settlements</w:t>
            </w:r>
          </w:p>
        </w:tc>
        <w:tc>
          <w:tcPr>
            <w:tcW w:type="dxa" w:w="34560"/>
          </w:tcPr>
          <w:p>
            <w:r/>
            <w:r>
              <w:rPr>
                <w:rFonts w:ascii="Calibri" w:hAnsi="Calibri"/>
                <w:b w:val="0"/>
                <w:i w:val="0"/>
                <w:color w:val="1B2A32"/>
                <w:sz w:val="18"/>
              </w:rPr>
              <w:t>“We'd be seen to be paying claims we rejected”</w:t>
            </w:r>
          </w:p>
        </w:tc>
        <w:tc>
          <w:tcPr>
            <w:tcW w:type="dxa" w:w="40320"/>
          </w:tcPr>
          <w:p>
            <w:r/>
            <w:r>
              <w:rPr>
                <w:rFonts w:ascii="Calibri" w:hAnsi="Calibri"/>
                <w:b w:val="0"/>
                <w:i w:val="0"/>
                <w:color w:val="1B2A32"/>
                <w:sz w:val="18"/>
              </w:rPr>
              <w:t>Every settlement recites that it is without admission of liability. And the alternative is thirty Ombudsman complaints, each with its own metric</w:t>
            </w:r>
          </w:p>
        </w:tc>
      </w:tr>
      <w:tr>
        <w:tc>
          <w:tcPr>
            <w:tcW w:type="dxa" w:w="28800"/>
            <w:shd w:val="clear" w:fill="F3F7F9"/>
          </w:tcPr>
          <w:p>
            <w:r/>
            <w:r>
              <w:rPr>
                <w:rFonts w:ascii="Calibri" w:hAnsi="Calibri"/>
                <w:b w:val="0"/>
                <w:i w:val="0"/>
                <w:color w:val="1B2A32"/>
                <w:sz w:val="18"/>
              </w:rPr>
              <w:t>Standing protocol</w:t>
            </w:r>
          </w:p>
        </w:tc>
        <w:tc>
          <w:tcPr>
            <w:tcW w:type="dxa" w:w="40320"/>
            <w:shd w:val="clear" w:fill="F3F7F9"/>
          </w:tcPr>
          <w:p>
            <w:r/>
            <w:r>
              <w:rPr>
                <w:rFonts w:ascii="Calibri" w:hAnsi="Calibri"/>
                <w:b w:val="0"/>
                <w:i w:val="0"/>
                <w:color w:val="1B2A32"/>
                <w:sz w:val="18"/>
              </w:rPr>
              <w:t>A single point of contact, agreed turnarounds, claim-file production in 14 days</w:t>
            </w:r>
          </w:p>
        </w:tc>
        <w:tc>
          <w:tcPr>
            <w:tcW w:type="dxa" w:w="34560"/>
            <w:shd w:val="clear" w:fill="F3F7F9"/>
          </w:tcPr>
          <w:p>
            <w:r/>
            <w:r>
              <w:rPr>
                <w:rFonts w:ascii="Calibri" w:hAnsi="Calibri"/>
                <w:b w:val="0"/>
                <w:i w:val="0"/>
                <w:color w:val="1B2A32"/>
                <w:sz w:val="18"/>
              </w:rPr>
              <w:t>“Our claims team is already stretched”</w:t>
            </w:r>
          </w:p>
        </w:tc>
        <w:tc>
          <w:tcPr>
            <w:tcW w:type="dxa" w:w="40320"/>
            <w:shd w:val="clear" w:fill="F3F7F9"/>
          </w:tcPr>
          <w:p>
            <w:r/>
            <w:r>
              <w:rPr>
                <w:rFonts w:ascii="Calibri" w:hAnsi="Calibri"/>
                <w:b w:val="0"/>
                <w:i w:val="0"/>
                <w:color w:val="1B2A32"/>
                <w:sz w:val="18"/>
              </w:rPr>
              <w:t>The protocol reduces the number of matters that escalate; the file is produced once, not four times</w:t>
            </w:r>
          </w:p>
        </w:tc>
      </w:tr>
      <w:tr>
        <w:tc>
          <w:tcPr>
            <w:tcW w:type="dxa" w:w="28800"/>
          </w:tcPr>
          <w:p>
            <w:r/>
            <w:r>
              <w:rPr>
                <w:rFonts w:ascii="Calibri" w:hAnsi="Calibri"/>
                <w:b w:val="0"/>
                <w:i w:val="0"/>
                <w:color w:val="1B2A32"/>
                <w:sz w:val="18"/>
              </w:rPr>
              <w:t>Subscription</w:t>
            </w:r>
          </w:p>
        </w:tc>
        <w:tc>
          <w:tcPr>
            <w:tcW w:type="dxa" w:w="40320"/>
          </w:tcPr>
          <w:p>
            <w:r/>
            <w:r>
              <w:rPr>
                <w:rFonts w:ascii="Calibri" w:hAnsi="Calibri"/>
                <w:b w:val="0"/>
                <w:i w:val="0"/>
                <w:color w:val="1B2A32"/>
                <w:sz w:val="18"/>
              </w:rPr>
              <w:t>Predictable annual cost against unpredictable award exposure</w:t>
            </w:r>
          </w:p>
        </w:tc>
        <w:tc>
          <w:tcPr>
            <w:tcW w:type="dxa" w:w="34560"/>
          </w:tcPr>
          <w:p>
            <w:r/>
            <w:r>
              <w:rPr>
                <w:rFonts w:ascii="Calibri" w:hAnsi="Calibri"/>
                <w:b w:val="0"/>
                <w:i w:val="0"/>
                <w:color w:val="1B2A32"/>
                <w:sz w:val="18"/>
              </w:rPr>
              <w:t>“Why pay a retainer for disputes we might not have?”</w:t>
            </w:r>
          </w:p>
        </w:tc>
        <w:tc>
          <w:tcPr>
            <w:tcW w:type="dxa" w:w="40320"/>
          </w:tcPr>
          <w:p>
            <w:r/>
            <w:r>
              <w:rPr>
                <w:rFonts w:ascii="Calibri" w:hAnsi="Calibri"/>
                <w:b w:val="0"/>
                <w:i w:val="0"/>
                <w:color w:val="1B2A32"/>
                <w:sz w:val="18"/>
              </w:rPr>
              <w:t>The subscription buys the reporting pack and the batched days, both of which are used regardless</w:t>
            </w:r>
          </w:p>
        </w:tc>
      </w:tr>
      <w:tr>
        <w:tc>
          <w:tcPr>
            <w:tcW w:type="dxa" w:w="28800"/>
            <w:shd w:val="clear" w:fill="F3F7F9"/>
          </w:tcPr>
          <w:p>
            <w:r/>
            <w:r>
              <w:rPr>
                <w:rFonts w:ascii="Calibri" w:hAnsi="Calibri"/>
                <w:b w:val="0"/>
                <w:i w:val="0"/>
                <w:color w:val="1B2A32"/>
                <w:sz w:val="18"/>
              </w:rPr>
              <w:t>Internal ombudsman support</w:t>
            </w:r>
          </w:p>
        </w:tc>
        <w:tc>
          <w:tcPr>
            <w:tcW w:type="dxa" w:w="40320"/>
            <w:shd w:val="clear" w:fill="F3F7F9"/>
          </w:tcPr>
          <w:p>
            <w:r/>
            <w:r>
              <w:rPr>
                <w:rFonts w:ascii="Calibri" w:hAnsi="Calibri"/>
                <w:b w:val="0"/>
                <w:i w:val="0"/>
                <w:color w:val="1B2A32"/>
                <w:sz w:val="18"/>
              </w:rPr>
              <w:t>Where the draft Guidelines are finalised, a credible way to staff and run the function</w:t>
            </w:r>
          </w:p>
        </w:tc>
        <w:tc>
          <w:tcPr>
            <w:tcW w:type="dxa" w:w="34560"/>
            <w:shd w:val="clear" w:fill="F3F7F9"/>
          </w:tcPr>
          <w:p>
            <w:r/>
            <w:r>
              <w:rPr>
                <w:rFonts w:ascii="Calibri" w:hAnsi="Calibri"/>
                <w:b w:val="0"/>
                <w:i w:val="0"/>
                <w:color w:val="1B2A32"/>
                <w:sz w:val="18"/>
              </w:rPr>
              <w:t>“It's not final yet”</w:t>
            </w:r>
          </w:p>
        </w:tc>
        <w:tc>
          <w:tcPr>
            <w:tcW w:type="dxa" w:w="40320"/>
            <w:shd w:val="clear" w:fill="F3F7F9"/>
          </w:tcPr>
          <w:p>
            <w:r/>
            <w:r>
              <w:rPr>
                <w:rFonts w:ascii="Calibri" w:hAnsi="Calibri"/>
                <w:b w:val="0"/>
                <w:i w:val="0"/>
                <w:color w:val="1B2A32"/>
                <w:sz w:val="18"/>
              </w:rPr>
              <w:t xml:space="preserve">Correct — which is why the offer is contingent and priced accordingly </w:t>
            </w:r>
            <w:r>
              <w:rPr>
                <w:rFonts w:ascii="Calibri" w:hAnsi="Calibri"/>
                <w:b/>
                <w:i w:val="0"/>
                <w:color w:val="1B2A32"/>
                <w:sz w:val="18"/>
              </w:rPr>
              <w:t>[verify]</w:t>
            </w:r>
          </w:p>
        </w:tc>
      </w:tr>
    </w:tbl>
    <w:p>
      <w:pPr>
        <w:spacing w:after="40"/>
      </w:pPr>
    </w:p>
    <w:p>
      <w:pPr>
        <w:keepNext/>
        <w:spacing w:before="200" w:after="60"/>
      </w:pPr>
      <w:r>
        <w:rPr>
          <w:rFonts w:ascii="Calibri" w:hAnsi="Calibri"/>
          <w:b/>
          <w:i w:val="0"/>
          <w:color w:val="1E7A8C"/>
          <w:sz w:val="25"/>
        </w:rPr>
        <w:t>2.3  The line to hold</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WHAT WE WILL NOT SELL</w:t>
            </w:r>
          </w:p>
          <w:p>
            <w:r>
              <w:rPr>
                <w:rFonts w:ascii="Calibri" w:hAnsi="Calibri"/>
                <w:b w:val="0"/>
                <w:i w:val="0"/>
                <w:color w:val="1B2A32"/>
                <w:sz w:val="19"/>
              </w:rPr>
              <w:t>We will not offer an insurer a lower settlement rate, a favourable neutral, or any suppression of the policyholder's other remedies. If an insurer asks for any of those, the answer is no and the conversation is recorded. Our value to an insurer is that our process is defensible — which it stops being the moment it is bought.</w:t>
            </w:r>
          </w:p>
        </w:tc>
      </w:tr>
    </w:tbl>
    <w:p>
      <w:pPr>
        <w:spacing w:after="40"/>
      </w:pPr>
    </w:p>
    <w:p>
      <w:pPr>
        <w:keepNext/>
        <w:spacing w:before="280" w:after="120"/>
        <w:pBdr>
          <w:bottom w:val="single" w:sz="12" w:space="3" w:color="C6A15B"/>
        </w:pBdr>
      </w:pPr>
      <w:r>
        <w:rPr>
          <w:rFonts w:ascii="Calibri" w:hAnsi="Calibri"/>
          <w:b/>
          <w:i w:val="0"/>
          <w:color w:val="123B4F"/>
          <w:sz w:val="32"/>
        </w:rPr>
        <w:t>3.  Panel MoU — heads of terms</w:t>
      </w:r>
    </w:p>
    <w:p>
      <w:pPr>
        <w:pStyle w:val="ListBullet"/>
        <w:spacing w:after="60"/>
        <w:jc w:val="both"/>
      </w:pPr>
      <w:r>
        <w:rPr>
          <w:rFonts w:ascii="Calibri" w:hAnsi="Calibri"/>
          <w:b/>
          <w:i w:val="0"/>
          <w:color w:val="1B2A32"/>
          <w:sz w:val="21"/>
        </w:rPr>
        <w:t>Appointment</w:t>
      </w:r>
      <w:r>
        <w:rPr>
          <w:rFonts w:ascii="Calibri" w:hAnsi="Calibri"/>
          <w:b w:val="0"/>
          <w:i w:val="0"/>
          <w:color w:val="1B2A32"/>
          <w:sz w:val="21"/>
        </w:rPr>
        <w:t>: from the Equator panel, by the Registrar, applying rotation and the concentration cap. Never by the insurer alone.</w:t>
      </w:r>
    </w:p>
    <w:p>
      <w:pPr>
        <w:pStyle w:val="ListBullet"/>
        <w:spacing w:after="60"/>
        <w:jc w:val="both"/>
      </w:pPr>
      <w:r>
        <w:rPr>
          <w:rFonts w:ascii="Calibri" w:hAnsi="Calibri"/>
          <w:b/>
          <w:i w:val="0"/>
          <w:color w:val="1B2A32"/>
          <w:sz w:val="21"/>
        </w:rPr>
        <w:t>Disclosure</w:t>
      </w:r>
      <w:r>
        <w:rPr>
          <w:rFonts w:ascii="Calibri" w:hAnsi="Calibri"/>
          <w:b w:val="0"/>
          <w:i w:val="0"/>
          <w:color w:val="1B2A32"/>
          <w:sz w:val="21"/>
        </w:rPr>
        <w:t>: Form F-I15 before every appointment; continuing duty.</w:t>
      </w:r>
    </w:p>
    <w:p>
      <w:pPr>
        <w:pStyle w:val="ListBullet"/>
        <w:spacing w:after="60"/>
        <w:jc w:val="both"/>
      </w:pPr>
      <w:r>
        <w:rPr>
          <w:rFonts w:ascii="Calibri" w:hAnsi="Calibri"/>
          <w:b/>
          <w:i w:val="0"/>
          <w:color w:val="1B2A32"/>
          <w:sz w:val="21"/>
        </w:rPr>
        <w:t>Fees</w:t>
      </w:r>
      <w:r>
        <w:rPr>
          <w:rFonts w:ascii="Calibri" w:hAnsi="Calibri"/>
          <w:b w:val="0"/>
          <w:i w:val="0"/>
          <w:color w:val="1B2A32"/>
          <w:sz w:val="21"/>
        </w:rPr>
        <w:t>: per the Schedule; no fee linked to the settlement amount.</w:t>
      </w:r>
    </w:p>
    <w:p>
      <w:pPr>
        <w:pStyle w:val="ListBullet"/>
        <w:spacing w:after="60"/>
        <w:jc w:val="both"/>
      </w:pPr>
      <w:r>
        <w:rPr>
          <w:rFonts w:ascii="Calibri" w:hAnsi="Calibri"/>
          <w:b/>
          <w:i w:val="0"/>
          <w:color w:val="1B2A32"/>
          <w:sz w:val="21"/>
        </w:rPr>
        <w:t>Conduct</w:t>
      </w:r>
      <w:r>
        <w:rPr>
          <w:rFonts w:ascii="Calibri" w:hAnsi="Calibri"/>
          <w:b w:val="0"/>
          <w:i w:val="0"/>
          <w:color w:val="1B2A32"/>
          <w:sz w:val="21"/>
        </w:rPr>
        <w:t>: bound by the Rules and the Code; no advice; no merits opinion; no prediction.</w:t>
      </w:r>
    </w:p>
    <w:p>
      <w:pPr>
        <w:pStyle w:val="ListBullet"/>
        <w:spacing w:after="60"/>
        <w:jc w:val="both"/>
      </w:pPr>
      <w:r>
        <w:rPr>
          <w:rFonts w:ascii="Calibri" w:hAnsi="Calibri"/>
          <w:b/>
          <w:i w:val="0"/>
          <w:color w:val="1B2A32"/>
          <w:sz w:val="21"/>
        </w:rPr>
        <w:t>Confidentiality</w:t>
      </w:r>
      <w:r>
        <w:rPr>
          <w:rFonts w:ascii="Calibri" w:hAnsi="Calibri"/>
          <w:b w:val="0"/>
          <w:i w:val="0"/>
          <w:color w:val="1B2A32"/>
          <w:sz w:val="21"/>
        </w:rPr>
        <w:t>: absolute, including after the matter ends; no acting for either party in a related matter.</w:t>
      </w:r>
    </w:p>
    <w:p>
      <w:pPr>
        <w:pStyle w:val="ListBullet"/>
        <w:spacing w:after="60"/>
        <w:jc w:val="both"/>
      </w:pPr>
      <w:r>
        <w:rPr>
          <w:rFonts w:ascii="Calibri" w:hAnsi="Calibri"/>
          <w:b/>
          <w:i w:val="0"/>
          <w:color w:val="1B2A32"/>
          <w:sz w:val="21"/>
        </w:rPr>
        <w:t>Data</w:t>
      </w:r>
      <w:r>
        <w:rPr>
          <w:rFonts w:ascii="Calibri" w:hAnsi="Calibri"/>
          <w:b w:val="0"/>
          <w:i w:val="0"/>
          <w:color w:val="1B2A32"/>
          <w:sz w:val="21"/>
        </w:rPr>
        <w:t>: health data handled per Equator's schedule; nothing retained personally.</w:t>
      </w:r>
    </w:p>
    <w:p>
      <w:pPr>
        <w:pStyle w:val="ListBullet"/>
        <w:spacing w:after="60"/>
        <w:jc w:val="both"/>
      </w:pPr>
      <w:r>
        <w:rPr>
          <w:rFonts w:ascii="Calibri" w:hAnsi="Calibri"/>
          <w:b/>
          <w:i w:val="0"/>
          <w:color w:val="1B2A32"/>
          <w:sz w:val="21"/>
        </w:rPr>
        <w:t>Publication</w:t>
      </w:r>
      <w:r>
        <w:rPr>
          <w:rFonts w:ascii="Calibri" w:hAnsi="Calibri"/>
          <w:b w:val="0"/>
          <w:i w:val="0"/>
          <w:color w:val="1B2A32"/>
          <w:sz w:val="21"/>
        </w:rPr>
        <w:t>: consent to inclusion in aggregate, anonymised outcome publication.</w:t>
      </w:r>
    </w:p>
    <w:p>
      <w:pPr>
        <w:pStyle w:val="ListBullet"/>
        <w:spacing w:after="60"/>
        <w:jc w:val="both"/>
      </w:pPr>
      <w:r>
        <w:rPr>
          <w:rFonts w:ascii="Calibri" w:hAnsi="Calibri"/>
          <w:b/>
          <w:i w:val="0"/>
          <w:color w:val="1B2A32"/>
          <w:sz w:val="21"/>
        </w:rPr>
        <w:t>Insurance</w:t>
      </w:r>
      <w:r>
        <w:rPr>
          <w:rFonts w:ascii="Calibri" w:hAnsi="Calibri"/>
          <w:b w:val="0"/>
          <w:i w:val="0"/>
          <w:color w:val="1B2A32"/>
          <w:sz w:val="21"/>
        </w:rPr>
        <w:t>: current professional indemnity cover, evidenced annually.</w:t>
      </w:r>
    </w:p>
    <w:p>
      <w:pPr>
        <w:pStyle w:val="ListBullet"/>
        <w:spacing w:after="60"/>
        <w:jc w:val="both"/>
      </w:pPr>
      <w:r>
        <w:rPr>
          <w:rFonts w:ascii="Calibri" w:hAnsi="Calibri"/>
          <w:b/>
          <w:i w:val="0"/>
          <w:color w:val="1B2A32"/>
          <w:sz w:val="21"/>
        </w:rPr>
        <w:t>Termination</w:t>
      </w:r>
      <w:r>
        <w:rPr>
          <w:rFonts w:ascii="Calibri" w:hAnsi="Calibri"/>
          <w:b w:val="0"/>
          <w:i w:val="0"/>
          <w:color w:val="1B2A32"/>
          <w:sz w:val="21"/>
        </w:rPr>
        <w:t>: by either party on notice; immediately by Equator for an independence failure.</w:t>
      </w:r>
    </w:p>
    <w:p>
      <w:pPr>
        <w:keepNext/>
        <w:spacing w:before="280" w:after="120"/>
        <w:pBdr>
          <w:bottom w:val="single" w:sz="12" w:space="3" w:color="C6A15B"/>
        </w:pBdr>
      </w:pPr>
      <w:r>
        <w:rPr>
          <w:rFonts w:ascii="Calibri" w:hAnsi="Calibri"/>
          <w:b/>
          <w:i w:val="0"/>
          <w:color w:val="123B4F"/>
          <w:sz w:val="32"/>
        </w:rPr>
        <w:t>4.  Regulatory note</w:t>
      </w:r>
    </w:p>
    <w:p>
      <w:pPr>
        <w:spacing w:after="120"/>
        <w:jc w:val="both"/>
      </w:pPr>
      <w:r>
        <w:rPr>
          <w:rFonts w:ascii="Calibri" w:hAnsi="Calibri"/>
          <w:b w:val="0"/>
          <w:i w:val="0"/>
          <w:color w:val="1B2A32"/>
          <w:sz w:val="21"/>
        </w:rPr>
        <w:t xml:space="preserve">Equator Resolution operates as a </w:t>
      </w:r>
      <w:r>
        <w:rPr>
          <w:rFonts w:ascii="Calibri" w:hAnsi="Calibri"/>
          <w:b/>
          <w:i w:val="0"/>
          <w:color w:val="1B2A32"/>
          <w:sz w:val="21"/>
        </w:rPr>
        <w:t>private institutional dispute-resolution service provider</w:t>
      </w:r>
      <w:r>
        <w:rPr>
          <w:rFonts w:ascii="Calibri" w:hAnsi="Calibri"/>
          <w:b w:val="0"/>
          <w:i w:val="0"/>
          <w:color w:val="1B2A32"/>
          <w:sz w:val="21"/>
        </w:rPr>
        <w:t>. It is not registered with, licensed by or acting under any delegation from IRDAI, and it does not hold itself out as such. Three points bear recording for the Board:</w:t>
      </w:r>
    </w:p>
    <w:p>
      <w:pPr>
        <w:pStyle w:val="ListNumber"/>
        <w:spacing w:after="60"/>
        <w:jc w:val="both"/>
      </w:pPr>
      <w:r>
        <w:rPr>
          <w:rFonts w:ascii="Calibri" w:hAnsi="Calibri"/>
          <w:b/>
          <w:i w:val="0"/>
          <w:color w:val="1B2A32"/>
          <w:sz w:val="21"/>
        </w:rPr>
        <w:t>No regulatory authorisation is currently required</w:t>
      </w:r>
      <w:r>
        <w:rPr>
          <w:rFonts w:ascii="Calibri" w:hAnsi="Calibri"/>
          <w:b w:val="0"/>
          <w:i w:val="0"/>
          <w:color w:val="1B2A32"/>
          <w:sz w:val="21"/>
        </w:rPr>
        <w:t xml:space="preserve"> to administer mediation of insurance disputes, beyond compliance with the Mediation Act, 2023 and the general law. </w:t>
      </w:r>
      <w:r>
        <w:rPr>
          <w:rFonts w:ascii="Calibri" w:hAnsi="Calibri"/>
          <w:b/>
          <w:i w:val="0"/>
          <w:color w:val="1B2A32"/>
          <w:sz w:val="21"/>
        </w:rPr>
        <w:t>[verify — mediation service provider registration requirements and their commencement]</w:t>
      </w:r>
    </w:p>
    <w:p>
      <w:pPr>
        <w:pStyle w:val="ListNumber"/>
        <w:spacing w:after="60"/>
        <w:jc w:val="both"/>
      </w:pPr>
      <w:r>
        <w:rPr>
          <w:rFonts w:ascii="Calibri" w:hAnsi="Calibri"/>
          <w:b/>
          <w:i w:val="0"/>
          <w:color w:val="1B2A32"/>
          <w:sz w:val="21"/>
        </w:rPr>
        <w:t>The IRDAI circular of 27 October 2023 constrains what we may administer</w:t>
      </w:r>
      <w:r>
        <w:rPr>
          <w:rFonts w:ascii="Calibri" w:hAnsi="Calibri"/>
          <w:b w:val="0"/>
          <w:i w:val="0"/>
          <w:color w:val="1B2A32"/>
          <w:sz w:val="21"/>
        </w:rPr>
        <w:t>, not whether we may operate. The constraint is absolute on the retail side and is enforced technically.</w:t>
      </w:r>
    </w:p>
    <w:p>
      <w:pPr>
        <w:pStyle w:val="ListNumber"/>
        <w:spacing w:after="60"/>
        <w:jc w:val="both"/>
      </w:pPr>
      <w:r>
        <w:rPr>
          <w:rFonts w:ascii="Calibri" w:hAnsi="Calibri"/>
          <w:b/>
          <w:i w:val="0"/>
          <w:color w:val="1B2A32"/>
          <w:sz w:val="21"/>
        </w:rPr>
        <w:t>Nothing we do may obstruct a statutory remedy.</w:t>
      </w:r>
      <w:r>
        <w:rPr>
          <w:rFonts w:ascii="Calibri" w:hAnsi="Calibri"/>
          <w:b w:val="0"/>
          <w:i w:val="0"/>
          <w:color w:val="1B2A32"/>
          <w:sz w:val="21"/>
        </w:rPr>
        <w:t xml:space="preserve"> The signposting obligation, the clock discipline and the prohibition on any settlement waiving a non-waivable right are the controls that keep the institution on the right side of that line. They are not negotiable in any commercial arrangement.</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STANDING BOARD INSTRUCTION</w:t>
            </w:r>
          </w:p>
          <w:p>
            <w:r>
              <w:rPr>
                <w:rFonts w:ascii="Calibri" w:hAnsi="Calibri"/>
                <w:b w:val="0"/>
                <w:i w:val="0"/>
                <w:color w:val="1B2A32"/>
                <w:sz w:val="19"/>
              </w:rPr>
              <w:t>If a proposed commercial arrangement, product or marketing message would require any of the three controls above to be relaxed, it is refused at officer level and reported to the Board. No exception has ever been approved and none is contemplated.</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89CF120-45A8-482D-B8AD-C401C378C906}"/>
</file>

<file path=customXml/itemProps3.xml><?xml version="1.0" encoding="utf-8"?>
<ds:datastoreItem xmlns:ds="http://schemas.openxmlformats.org/officeDocument/2006/customXml" ds:itemID="{7DC84779-ACF7-439D-8609-93EEB423DD3D}"/>
</file>

<file path=customXml/itemProps4.xml><?xml version="1.0" encoding="utf-8"?>
<ds:datastoreItem xmlns:ds="http://schemas.openxmlformats.org/officeDocument/2006/customXml" ds:itemID="{7422AA1E-D73D-469E-89BD-6FDB8ED7832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