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Technical Architecture &amp; Data Specification — Insurance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For the engineering team. Companion files: schema_in.sql · openapi_in.yaml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Insurance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What makes this vertical different to build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Three things, and all three are constraints rather than features: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 regulatory bar that must be un-bypassable.</w:t>
      </w:r>
      <w:r>
        <w:rPr>
          <w:rFonts w:ascii="Calibri" w:hAnsi="Calibri"/>
          <w:b w:val="0"/>
          <w:i w:val="0"/>
          <w:color w:val="1B2A32"/>
          <w:sz w:val="21"/>
        </w:rPr>
        <w:t xml:space="preserve"> Retail policies cannot be routed to arbitration. This is not a validation rule that a support engineer can override with a flag — it is a database CHECK constraint, an API 409, and an AI guardrail with adversarial test cases.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 clock engine that blocks closure.</w:t>
      </w:r>
      <w:r>
        <w:rPr>
          <w:rFonts w:ascii="Calibri" w:hAnsi="Calibri"/>
          <w:b w:val="0"/>
          <w:i w:val="0"/>
          <w:color w:val="1B2A32"/>
          <w:sz w:val="21"/>
        </w:rPr>
        <w:t xml:space="preserve"> Insurance disputes carry statutory windows that expire whether or not we settle. The system generates expiries, alerts at 90/60/30 days, records the mandatory 60-day prompt, and refuses to close a case with an unowned clock.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Health data in a physically separate store.</w:t>
      </w:r>
      <w:r>
        <w:rPr>
          <w:rFonts w:ascii="Calibri" w:hAnsi="Calibri"/>
          <w:b w:val="0"/>
          <w:i w:val="0"/>
          <w:color w:val="1B2A32"/>
          <w:sz w:val="21"/>
        </w:rPr>
        <w:t xml:space="preserve"> No foreign-key path from the case tables, a separate encryption key, assignment-scoped and time-boxed access, an immutable access log, and exclusion from every analytics view and every AI dataset.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DESIGN PRINCIPLE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If a rule matters enough to write in the Blueprint, it is enforced in the database. Application-layer validation is a convenience for the user; the constraint is the control. This mirrors the platform Reference Implementation, where the equivalent rules are proved by a passing test suite.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System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633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Web app (party)</w:t>
            </w:r>
          </w:p>
        </w:tc>
        <w:tc>
          <w:tcPr>
            <w:tcW w:type="dxa" w:w="633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Explorer, intake, case room, documents, e-sign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Bilingual EN/हिंदी; mobile-first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Case-manager console</w:t>
            </w:r>
          </w:p>
        </w:tc>
        <w:tc>
          <w:tcPr>
            <w:tcW w:type="dxa" w:w="633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Triage, clocks, claim-file chase, schedules, signposting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operational core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Neutral workspace</w:t>
            </w:r>
          </w:p>
        </w:tc>
        <w:tc>
          <w:tcPr>
            <w:tcW w:type="dxa" w:w="633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Case bundle, session tools, caucus notes, drafting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Caucus notes encrypted per neutral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Insurer portal</w:t>
            </w:r>
          </w:p>
        </w:tc>
        <w:tc>
          <w:tcPr>
            <w:tcW w:type="dxa" w:w="633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Protocol matters, claim-file upload, authority confirmation, reporting pack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Scoped strictly to that insurer's matters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Core API</w:t>
            </w:r>
          </w:p>
        </w:tc>
        <w:tc>
          <w:tcPr>
            <w:tcW w:type="dxa" w:w="633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service in openapi_in.yaml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Stateless; all rules enforced below it too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Rules engine</w:t>
            </w:r>
          </w:p>
        </w:tc>
        <w:tc>
          <w:tcPr>
            <w:tcW w:type="dxa" w:w="633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Ombudsman eligibility; route matrix; clock computation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Deterministic; configuration-driven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scheduler</w:t>
            </w:r>
          </w:p>
        </w:tc>
        <w:tc>
          <w:tcPr>
            <w:tcW w:type="dxa" w:w="633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Expiry generation, alerts, the 60-day prompt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Idempotent; runs daily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Document service</w:t>
            </w:r>
          </w:p>
        </w:tc>
        <w:tc>
          <w:tcPr>
            <w:tcW w:type="dxa" w:w="633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Forms F-I01–F-I20, settlement drafting, registration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Templates versioned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Health store</w:t>
            </w:r>
          </w:p>
        </w:tc>
        <w:tc>
          <w:tcPr>
            <w:tcW w:type="dxa" w:w="633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Medical records, segregated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Separate schema, separate key, access-logged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AI service</w:t>
            </w:r>
          </w:p>
        </w:tc>
        <w:tc>
          <w:tcPr>
            <w:tcW w:type="dxa" w:w="633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Explorer, classification, drafting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Guardrails IN-G-01..12; no health data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Escrow integration</w:t>
            </w:r>
          </w:p>
        </w:tc>
        <w:tc>
          <w:tcPr>
            <w:tcW w:type="dxa" w:w="633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Bank, milestones, reconciliation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Release requires evidence on file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e-Sign / e-Stamp</w:t>
            </w:r>
          </w:p>
        </w:tc>
        <w:tc>
          <w:tcPr>
            <w:tcW w:type="dxa" w:w="633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Aadhaar e-Sign, SHCIL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IT Act s.3A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Reporting</w:t>
            </w:r>
          </w:p>
        </w:tc>
        <w:tc>
          <w:tcPr>
            <w:tcW w:type="dxa" w:w="633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Outcomes by insurer, clock risk, neutral concentration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Health data excluded by construction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Data model — the entities that carry the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 it carries</w:t>
            </w:r>
          </w:p>
        </w:tc>
        <w:tc>
          <w:tcPr>
            <w:tcW w:type="dxa" w:w="806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`policy`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R1 gate</w:t>
            </w:r>
          </w:p>
        </w:tc>
        <w:tc>
          <w:tcPr>
            <w:tcW w:type="dxa" w:w="80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`class` is NOT NULL; there is no default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`dispute_case`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R1</w:t>
            </w:r>
          </w:p>
        </w:tc>
        <w:tc>
          <w:tcPr>
            <w:tcW w:type="dxa" w:w="80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`CHECK (route IS DISTINCT FROM 'arbitration' OR is_retail = FALSE)`; `is_retail` is set by trigger from `policy.class`, not by the client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`dispute_case`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Fraud screen-out</w:t>
            </w:r>
          </w:p>
        </w:tc>
        <w:tc>
          <w:tcPr>
            <w:tcW w:type="dxa" w:w="80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`CHECK (fraud_alleged = FALSE OR route &lt;&gt; 'equator_mediation')`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`triage`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Second-officer review</w:t>
            </w:r>
          </w:p>
        </w:tc>
        <w:tc>
          <w:tcPr>
            <w:tcW w:type="dxa" w:w="80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`CHECK (reviewed_by &lt;&gt; classified_by)`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`triage`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Eligibility</w:t>
            </w:r>
          </w:p>
        </w:tc>
        <w:tc>
          <w:tcPr>
            <w:tcW w:type="dxa" w:w="80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`ombudsman_eligible` is a GENERATED column — it cannot be set by hand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`clock`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R3</w:t>
            </w:r>
          </w:p>
        </w:tc>
        <w:tc>
          <w:tcPr>
            <w:tcW w:type="dxa" w:w="80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`expiry_date` is GENERATED; `owner` must be non-null before closure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`signposting_event`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R3</w:t>
            </w:r>
          </w:p>
        </w:tc>
        <w:tc>
          <w:tcPr>
            <w:tcW w:type="dxa" w:w="80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At least one row required to leave triage and to close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`deduction_line`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Arithmetic integrity</w:t>
            </w:r>
          </w:p>
        </w:tc>
        <w:tc>
          <w:tcPr>
            <w:tcW w:type="dxa" w:w="80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`deducted` is GENERATED; a non-zero deduction requires a reason code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`neutral_disclosure`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Repeat-player capture</w:t>
            </w:r>
          </w:p>
        </w:tc>
        <w:tc>
          <w:tcPr>
            <w:tcW w:type="dxa" w:w="80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`CHECK` on the 40% concentration cap; independence must be declared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`session`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Authority</w:t>
            </w:r>
          </w:p>
        </w:tc>
        <w:tc>
          <w:tcPr>
            <w:tcW w:type="dxa" w:w="80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`CHECK (authority_confirmed = TRUE)` — a session cannot exist without it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`settlement`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R2</w:t>
            </w:r>
          </w:p>
        </w:tc>
        <w:tc>
          <w:tcPr>
            <w:tcW w:type="dxa" w:w="80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`CHECK (statutory_rights_waived = FALSE)` and `CHECK (future_claims_discharged = FALSE)`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`discharge_voucher`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Protest integrity</w:t>
            </w:r>
          </w:p>
        </w:tc>
        <w:tc>
          <w:tcPr>
            <w:tcW w:type="dxa" w:w="80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`under_protest` requires a reserved balance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`escrow_milestone`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Evidence</w:t>
            </w:r>
          </w:p>
        </w:tc>
        <w:tc>
          <w:tcPr>
            <w:tcW w:type="dxa" w:w="806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Release requires `evidence_ref`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`ins_health.medical_record`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Health segregation</w:t>
            </w:r>
          </w:p>
        </w:tc>
        <w:tc>
          <w:tcPr>
            <w:tcW w:type="dxa" w:w="806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Separate schema; `case_ref` is TEXT, deliberately not a foreign key; authority reference mandatory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The clock engine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3.1  Computation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88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Clock</w:t>
            </w:r>
          </w:p>
        </w:tc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288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`insurer_reply_30d`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`representation_date`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30 days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Gates Ombudsman eligibility condition 2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`ombudsman_1y`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`insurer_reply_date`, else `representation_date + 30`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365 days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The critical clock.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Alerts at 90/60/30; the 60-day alert requires a recorded prompt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`consumer_2y`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`loss_date` (cause of action)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730 days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Subject to condonation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`policy_suit_bar`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`decision_date`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Per wording, often 365 days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Enforceability contestable [verify]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`arb_29a`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Pleadings complete</w:t>
            </w:r>
          </w:p>
        </w:tc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365 + 180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 arbitration only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`mediation_period`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Mediation commenced</w:t>
            </w:r>
          </w:p>
        </w:tc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Per the Mediation Act [verify]</w:t>
            </w:r>
          </w:p>
        </w:tc>
        <w:tc>
          <w:tcPr>
            <w:tcW w:type="dxa" w:w="43200"/>
            <w:shd w:val="clear" w:fill="F3F7F9"/>
          </w:tcPr>
          <w:p>
            <w:r/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3.2  Scheduler behaviour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Runs daily, idempotently. Recomputes `days_left` for every clock on an open case.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At 90 days: an informational alert to the case manager.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At 60 days on an `ombudsman_1y` clock where the case is not in `settlement` or `closed`: a </w:t>
      </w:r>
      <w:r>
        <w:rPr>
          <w:rFonts w:ascii="Calibri" w:hAnsi="Calibri"/>
          <w:b/>
          <w:i w:val="0"/>
          <w:color w:val="1B2A32"/>
          <w:sz w:val="21"/>
        </w:rPr>
        <w:t>blocking task</w:t>
      </w:r>
      <w:r>
        <w:rPr>
          <w:rFonts w:ascii="Calibri" w:hAnsi="Calibri"/>
          <w:b w:val="0"/>
          <w:i w:val="0"/>
          <w:color w:val="1B2A32"/>
          <w:sz w:val="21"/>
        </w:rPr>
        <w:t xml:space="preserve"> on the case manager's queue that cannot be dismissed without recording the prompt via `POST /cases/{id}/clocks/ombudsman_1y/prompt`.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At 30 days: escalation to the Head of Operations.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On expiry of an unowned or unprompted clock: an </w:t>
      </w:r>
      <w:r>
        <w:rPr>
          <w:rFonts w:ascii="Calibri" w:hAnsi="Calibri"/>
          <w:b/>
          <w:i w:val="0"/>
          <w:color w:val="1B2A32"/>
          <w:sz w:val="21"/>
        </w:rPr>
        <w:t>incident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is raised automatically. This is a Critical-severity event under the incident-response runbook.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Health-data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7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1065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Physical separation</w:t>
            </w:r>
          </w:p>
        </w:tc>
        <w:tc>
          <w:tcPr>
            <w:tcW w:type="dxa" w:w="106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`ins_health` schema, separate database role, separate encryption key. No FK path from `ins.*`</w:t>
            </w:r>
          </w:p>
        </w:tc>
      </w:tr>
      <w:tr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Reference by value</w:t>
            </w:r>
          </w:p>
        </w:tc>
        <w:tc>
          <w:tcPr>
            <w:tcW w:type="dxa" w:w="106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`medical_record.case_ref` is TEXT. A join is impossible, not merely forbidden</w:t>
            </w:r>
          </w:p>
        </w:tc>
      </w:tr>
      <w:tr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Access</w:t>
            </w:r>
          </w:p>
        </w:tc>
        <w:tc>
          <w:tcPr>
            <w:tcW w:type="dxa" w:w="106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Requires the `health` scope, an active assignment to that case, and an authority reference on file. Time-boxed to the life of the case</w:t>
            </w:r>
          </w:p>
        </w:tc>
      </w:tr>
      <w:tr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Logging</w:t>
            </w:r>
          </w:p>
        </w:tc>
        <w:tc>
          <w:tcPr>
            <w:tcW w:type="dxa" w:w="106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Every read writes `medical_access_log`. The log is append-only and reviewed monthly by the DPO</w:t>
            </w:r>
          </w:p>
        </w:tc>
      </w:tr>
      <w:tr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Exclusion from analytics</w:t>
            </w:r>
          </w:p>
        </w:tc>
        <w:tc>
          <w:tcPr>
            <w:tcW w:type="dxa" w:w="106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Reporting views are built only over `ins.*`. A CI check scans every view definition and every dataset export for `ins_health` references and fails the build if one appears</w:t>
            </w:r>
          </w:p>
        </w:tc>
      </w:tr>
      <w:tr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Exclusion from AI</w:t>
            </w:r>
          </w:p>
        </w:tc>
        <w:tc>
          <w:tcPr>
            <w:tcW w:type="dxa" w:w="106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AI service has no credential for `ins_health`. Prompt construction is allow-listed by field, not deny-listed</w:t>
            </w:r>
          </w:p>
        </w:tc>
      </w:tr>
      <w:tr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Notifications</w:t>
            </w:r>
          </w:p>
        </w:tc>
        <w:tc>
          <w:tcPr>
            <w:tcW w:type="dxa" w:w="106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template lint rule fails the build if any notification template references a health field, including in a subject line</w:t>
            </w:r>
          </w:p>
        </w:tc>
      </w:tr>
      <w:tr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Erasure</w:t>
            </w:r>
          </w:p>
        </w:tc>
        <w:tc>
          <w:tcPr>
            <w:tcW w:type="dxa" w:w="106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`erase_after` is set at ingestion from the retention class. A daily job erases and records; closure (Form F-I20) requires confirmation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Environments, testing and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892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must pass</w:t>
            </w:r>
          </w:p>
        </w:tc>
        <w:tc>
          <w:tcPr>
            <w:tcW w:type="dxa" w:w="230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Blocking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Constraint tests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Attempt to insert an arbitration route on a retail case → must fail. Attempt a settlement with `statutory_rights_waived` → must fail. Attempt closure with an unowned clock → must fail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API contract tests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Every documented 409 and 422 is produced by the documented input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AI guardrail harness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IN-G-01 to IN-G-12; zero tolerated failures on 02, 03, 04 and 07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Health-data scan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`ins_health` reference in any view, export or AI prompt template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Template lint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health field in any notification template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UAT pack</w:t>
            </w:r>
          </w:p>
        </w:tc>
        <w:tc>
          <w:tcPr>
            <w:tcW w:type="dxa" w:w="892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All scripts pass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Yes for a release; No for a patch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Load</w:t>
            </w:r>
          </w:p>
        </w:tc>
        <w:tc>
          <w:tcPr>
            <w:tcW w:type="dxa" w:w="892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Clock scheduler completes within the window at 10x current case volume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Integration notes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Bima Bharosa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we capture and store the token the party obtains. We do not file on their behalf and we hold no standing with IRDAI.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Bima Sugam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build the policy and claim entities to align with its data shapes now, even before an integration exists. Phase 1 went live in December 2025. </w:t>
      </w:r>
      <w:r>
        <w:rPr>
          <w:rFonts w:ascii="Calibri" w:hAnsi="Calibri"/>
          <w:b/>
          <w:i w:val="0"/>
          <w:color w:val="1B2A32"/>
          <w:sz w:val="21"/>
        </w:rPr>
        <w:t>[verify — current scope and API availability]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Insurer claims systems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under a protocol only, and scoped to matters where that insurer is a party. Never a general read.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TPA and hospital systems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health-data consent and an authority reference are preconditions, enforced at the ingestion boundary.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e-Sign / e-Stamp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Aadhaar e-Sign under IT Act s.3A; SHCIL e-stamp where the state requires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Insurance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976AF0-8573-4DC4-B39D-961BAD8480EC}"/>
</file>

<file path=customXml/itemProps3.xml><?xml version="1.0" encoding="utf-8"?>
<ds:datastoreItem xmlns:ds="http://schemas.openxmlformats.org/officeDocument/2006/customXml" ds:itemID="{C04B5ABC-93F2-4E2D-8FCA-6D196FBA9AA7}"/>
</file>

<file path=customXml/itemProps4.xml><?xml version="1.0" encoding="utf-8"?>
<ds:datastoreItem xmlns:ds="http://schemas.openxmlformats.org/officeDocument/2006/customXml" ds:itemID="{9BF95A2D-E135-4A31-9C8C-65DEBE9DEC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