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Institutional Mediation, Conciliation &amp; Settlement</w:t>
      </w:r>
    </w:p>
    <w:p>
      <w:pPr>
        <w:pBdr>
          <w:top w:val="single" w:sz="14" w:space="6" w:color="C6A15B"/>
          <w:bottom w:val="single" w:sz="14" w:space="6" w:color="C6A15B"/>
        </w:pBdr>
      </w:pPr>
    </w:p>
    <w:p>
      <w:pPr>
        <w:spacing w:before="600"/>
        <w:jc w:val="center"/>
      </w:pPr>
      <w:r>
        <w:rPr>
          <w:rFonts w:ascii="Calibri" w:hAnsi="Calibri"/>
          <w:b/>
          <w:i w:val="0"/>
          <w:color w:val="123B4F"/>
          <w:sz w:val="48"/>
        </w:rPr>
        <w:t>Equator Certified Insurance Neutral (ECIN)</w:t>
      </w:r>
    </w:p>
    <w:p>
      <w:pPr>
        <w:jc w:val="center"/>
      </w:pPr>
      <w:r>
        <w:rPr>
          <w:rFonts w:ascii="Calibri" w:hAnsi="Calibri"/>
          <w:b w:val="0"/>
          <w:i/>
          <w:color w:val="556168"/>
          <w:sz w:val="25"/>
        </w:rPr>
        <w:t>Training curriculum, assessment and certification</w:t>
      </w:r>
    </w:p>
    <w:p/>
    <w:p/>
    <w:p/>
    <w:p/>
    <w:p/>
    <w:p/>
    <w:p/>
    <w:p/>
    <w:p>
      <w:pPr>
        <w:jc w:val="center"/>
      </w:pPr>
      <w:r>
        <w:rPr>
          <w:rFonts w:ascii="Calibri" w:hAnsi="Calibri"/>
          <w:b/>
          <w:i w:val="0"/>
          <w:color w:val="1E7A8C"/>
          <w:sz w:val="22"/>
        </w:rPr>
        <w:t>Insurance Dispute Resolution vertical</w:t>
      </w:r>
    </w:p>
    <w:p>
      <w:pPr>
        <w:jc w:val="center"/>
      </w:pPr>
      <w:r>
        <w:rPr>
          <w:rFonts w:ascii="Calibri" w:hAnsi="Calibri"/>
          <w:b w:val="0"/>
          <w:i w:val="0"/>
          <w:color w:val="556168"/>
          <w:sz w:val="19"/>
        </w:rPr>
        <w:t>July 2026  ·  Draft for legal sign-off  ·  www.equatorresolution.com</w:t>
      </w:r>
    </w:p>
    <w:p>
      <w:r>
        <w:br w:type="page"/>
      </w:r>
    </w:p>
    <w:p>
      <w:pPr>
        <w:keepNext/>
        <w:spacing w:before="280" w:after="120"/>
        <w:pBdr>
          <w:bottom w:val="single" w:sz="12" w:space="3" w:color="C6A15B"/>
        </w:pBdr>
      </w:pPr>
      <w:r>
        <w:rPr>
          <w:rFonts w:ascii="Calibri" w:hAnsi="Calibri"/>
          <w:b/>
          <w:i w:val="0"/>
          <w:color w:val="123B4F"/>
          <w:sz w:val="32"/>
        </w:rPr>
        <w:t>Programme overview</w:t>
      </w:r>
    </w:p>
    <w:p>
      <w:pPr>
        <w:spacing w:after="120"/>
        <w:jc w:val="both"/>
      </w:pPr>
      <w:r>
        <w:rPr>
          <w:rFonts w:ascii="Calibri" w:hAnsi="Calibri"/>
          <w:b w:val="0"/>
          <w:i w:val="0"/>
          <w:color w:val="1B2A32"/>
          <w:sz w:val="21"/>
        </w:rPr>
        <w:t>The ECIN programme accredits mediators, conciliators and arbitrators to sit on Equator's insurance panel. It assumes prior mediation training or professional standing and adds what an insurance neutral specifically needs: the forum map, the technical content of each line of business, the ability to read a claim file, and a very clear sense of the line a neutral must not cross.</w:t>
      </w:r>
    </w:p>
    <w:tbl>
      <w:tblPr>
        <w:tblStyle w:val="TableGrid"/>
        <w:tblW w:type="auto" w:w="0"/>
        <w:jc w:val="center"/>
        <w:tblLook w:firstColumn="1" w:firstRow="1" w:lastColumn="0" w:lastRow="0" w:noHBand="0" w:noVBand="1" w:val="04A0"/>
      </w:tblPr>
      <w:tblGrid>
        <w:gridCol w:w="4752"/>
        <w:gridCol w:w="4752"/>
      </w:tblGrid>
      <w:tr>
        <w:tc>
          <w:tcPr>
            <w:tcW w:type="dxa" w:w="34560"/>
            <w:shd w:val="clear" w:fill="123B4F"/>
          </w:tcPr>
          <w:p>
            <w:r/>
            <w:r>
              <w:rPr>
                <w:rFonts w:ascii="Calibri" w:hAnsi="Calibri"/>
                <w:b/>
                <w:i w:val="0"/>
                <w:color w:val="FFFFFF"/>
                <w:sz w:val="18"/>
              </w:rPr>
              <w:t>Element</w:t>
            </w:r>
          </w:p>
        </w:tc>
        <w:tc>
          <w:tcPr>
            <w:tcW w:type="dxa" w:w="109440"/>
            <w:shd w:val="clear" w:fill="123B4F"/>
          </w:tcPr>
          <w:p>
            <w:r/>
            <w:r>
              <w:rPr>
                <w:rFonts w:ascii="Calibri" w:hAnsi="Calibri"/>
                <w:b/>
                <w:i w:val="0"/>
                <w:color w:val="FFFFFF"/>
                <w:sz w:val="18"/>
              </w:rPr>
              <w:t>Detail</w:t>
            </w:r>
          </w:p>
        </w:tc>
      </w:tr>
      <w:tr>
        <w:tc>
          <w:tcPr>
            <w:tcW w:type="dxa" w:w="34560"/>
          </w:tcPr>
          <w:p>
            <w:r/>
            <w:r>
              <w:rPr>
                <w:rFonts w:ascii="Calibri" w:hAnsi="Calibri"/>
                <w:b w:val="0"/>
                <w:i w:val="0"/>
                <w:color w:val="1B2A32"/>
                <w:sz w:val="18"/>
              </w:rPr>
              <w:t>Duration</w:t>
            </w:r>
          </w:p>
        </w:tc>
        <w:tc>
          <w:tcPr>
            <w:tcW w:type="dxa" w:w="109440"/>
          </w:tcPr>
          <w:p>
            <w:r/>
            <w:r>
              <w:rPr>
                <w:rFonts w:ascii="Calibri" w:hAnsi="Calibri"/>
                <w:b w:val="0"/>
                <w:i w:val="0"/>
                <w:color w:val="1B2A32"/>
                <w:sz w:val="18"/>
              </w:rPr>
              <w:t>84 taught hours over 12 modules, plus 3 supervised co-mediations</w:t>
            </w:r>
          </w:p>
        </w:tc>
      </w:tr>
      <w:tr>
        <w:tc>
          <w:tcPr>
            <w:tcW w:type="dxa" w:w="34560"/>
            <w:shd w:val="clear" w:fill="F3F7F9"/>
          </w:tcPr>
          <w:p>
            <w:r/>
            <w:r>
              <w:rPr>
                <w:rFonts w:ascii="Calibri" w:hAnsi="Calibri"/>
                <w:b w:val="0"/>
                <w:i w:val="0"/>
                <w:color w:val="1B2A32"/>
                <w:sz w:val="18"/>
              </w:rPr>
              <w:t>Delivery</w:t>
            </w:r>
          </w:p>
        </w:tc>
        <w:tc>
          <w:tcPr>
            <w:tcW w:type="dxa" w:w="109440"/>
            <w:shd w:val="clear" w:fill="F3F7F9"/>
          </w:tcPr>
          <w:p>
            <w:r/>
            <w:r>
              <w:rPr>
                <w:rFonts w:ascii="Calibri" w:hAnsi="Calibri"/>
                <w:b w:val="0"/>
                <w:i w:val="0"/>
                <w:color w:val="1B2A32"/>
                <w:sz w:val="18"/>
              </w:rPr>
              <w:t>Blended — live online, in person for the skills modules</w:t>
            </w:r>
          </w:p>
        </w:tc>
      </w:tr>
      <w:tr>
        <w:tc>
          <w:tcPr>
            <w:tcW w:type="dxa" w:w="34560"/>
          </w:tcPr>
          <w:p>
            <w:r/>
            <w:r>
              <w:rPr>
                <w:rFonts w:ascii="Calibri" w:hAnsi="Calibri"/>
                <w:b w:val="0"/>
                <w:i w:val="0"/>
                <w:color w:val="1B2A32"/>
                <w:sz w:val="18"/>
              </w:rPr>
              <w:t>Entry requirements</w:t>
            </w:r>
          </w:p>
        </w:tc>
        <w:tc>
          <w:tcPr>
            <w:tcW w:type="dxa" w:w="109440"/>
          </w:tcPr>
          <w:p>
            <w:r/>
            <w:r>
              <w:rPr>
                <w:rFonts w:ascii="Calibri" w:hAnsi="Calibri"/>
                <w:b w:val="0"/>
                <w:i w:val="0"/>
                <w:color w:val="1B2A32"/>
                <w:sz w:val="18"/>
              </w:rPr>
              <w:t>Recognised mediation training or 7+ years in insurance, law, medicine, accountancy or surveying; conflict screening</w:t>
            </w:r>
          </w:p>
        </w:tc>
      </w:tr>
      <w:tr>
        <w:tc>
          <w:tcPr>
            <w:tcW w:type="dxa" w:w="34560"/>
            <w:shd w:val="clear" w:fill="F3F7F9"/>
          </w:tcPr>
          <w:p>
            <w:r/>
            <w:r>
              <w:rPr>
                <w:rFonts w:ascii="Calibri" w:hAnsi="Calibri"/>
                <w:b w:val="0"/>
                <w:i w:val="0"/>
                <w:color w:val="1B2A32"/>
                <w:sz w:val="18"/>
              </w:rPr>
              <w:t>Assessment</w:t>
            </w:r>
          </w:p>
        </w:tc>
        <w:tc>
          <w:tcPr>
            <w:tcW w:type="dxa" w:w="109440"/>
            <w:shd w:val="clear" w:fill="F3F7F9"/>
          </w:tcPr>
          <w:p>
            <w:r/>
            <w:r>
              <w:rPr>
                <w:rFonts w:ascii="Calibri" w:hAnsi="Calibri"/>
                <w:b w:val="0"/>
                <w:i w:val="0"/>
                <w:color w:val="1B2A32"/>
                <w:sz w:val="18"/>
              </w:rPr>
              <w:t>Written paper, three practical file exercises, two observed role-plays, an ethics scenario assessment, and supervisor sign-off on three supervised cases</w:t>
            </w:r>
          </w:p>
        </w:tc>
      </w:tr>
      <w:tr>
        <w:tc>
          <w:tcPr>
            <w:tcW w:type="dxa" w:w="34560"/>
          </w:tcPr>
          <w:p>
            <w:r/>
            <w:r>
              <w:rPr>
                <w:rFonts w:ascii="Calibri" w:hAnsi="Calibri"/>
                <w:b w:val="0"/>
                <w:i w:val="0"/>
                <w:color w:val="1B2A32"/>
                <w:sz w:val="18"/>
              </w:rPr>
              <w:t>Certification</w:t>
            </w:r>
          </w:p>
        </w:tc>
        <w:tc>
          <w:tcPr>
            <w:tcW w:type="dxa" w:w="109440"/>
          </w:tcPr>
          <w:p>
            <w:r/>
            <w:r>
              <w:rPr>
                <w:rFonts w:ascii="Calibri" w:hAnsi="Calibri"/>
                <w:b w:val="0"/>
                <w:i w:val="0"/>
                <w:color w:val="1B2A32"/>
                <w:sz w:val="18"/>
              </w:rPr>
              <w:t>Valid two years; renewal on 12 CPD hours plus an ethics refresher</w:t>
            </w:r>
          </w:p>
        </w:tc>
      </w:tr>
      <w:tr>
        <w:tc>
          <w:tcPr>
            <w:tcW w:type="dxa" w:w="34560"/>
            <w:shd w:val="clear" w:fill="F3F7F9"/>
          </w:tcPr>
          <w:p>
            <w:r/>
            <w:r>
              <w:rPr>
                <w:rFonts w:ascii="Calibri" w:hAnsi="Calibri"/>
                <w:b w:val="0"/>
                <w:i w:val="0"/>
                <w:color w:val="1B2A32"/>
                <w:sz w:val="18"/>
              </w:rPr>
              <w:t>Panel obligations</w:t>
            </w:r>
          </w:p>
        </w:tc>
        <w:tc>
          <w:tcPr>
            <w:tcW w:type="dxa" w:w="109440"/>
            <w:shd w:val="clear" w:fill="F3F7F9"/>
          </w:tcPr>
          <w:p>
            <w:r/>
            <w:r>
              <w:rPr>
                <w:rFonts w:ascii="Calibri" w:hAnsi="Calibri"/>
                <w:b w:val="0"/>
                <w:i w:val="0"/>
                <w:color w:val="1B2A32"/>
                <w:sz w:val="18"/>
              </w:rPr>
              <w:t>Annual disclosure, appointment-concentration limits, rotation, and participation in outcome publication</w:t>
            </w:r>
          </w:p>
        </w:tc>
      </w:tr>
    </w:tbl>
    <w:p>
      <w:pPr>
        <w:spacing w:after="40"/>
      </w:pPr>
    </w:p>
    <w:p>
      <w:pPr>
        <w:keepNext/>
        <w:spacing w:before="280" w:after="120"/>
        <w:pBdr>
          <w:bottom w:val="single" w:sz="12" w:space="3" w:color="C6A15B"/>
        </w:pBdr>
      </w:pPr>
      <w:r>
        <w:rPr>
          <w:rFonts w:ascii="Calibri" w:hAnsi="Calibri"/>
          <w:b/>
          <w:i w:val="0"/>
          <w:color w:val="123B4F"/>
          <w:sz w:val="32"/>
        </w:rPr>
        <w:t>1.  The modules</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5760"/>
            <w:shd w:val="clear" w:fill="123B4F"/>
          </w:tcPr>
          <w:p>
            <w:r/>
            <w:r>
              <w:rPr>
                <w:rFonts w:ascii="Calibri" w:hAnsi="Calibri"/>
                <w:b/>
                <w:i w:val="0"/>
                <w:color w:val="FFFFFF"/>
                <w:sz w:val="18"/>
              </w:rPr>
              <w:t>#</w:t>
            </w:r>
          </w:p>
        </w:tc>
        <w:tc>
          <w:tcPr>
            <w:tcW w:type="dxa" w:w="34560"/>
            <w:shd w:val="clear" w:fill="123B4F"/>
          </w:tcPr>
          <w:p>
            <w:r/>
            <w:r>
              <w:rPr>
                <w:rFonts w:ascii="Calibri" w:hAnsi="Calibri"/>
                <w:b/>
                <w:i w:val="0"/>
                <w:color w:val="FFFFFF"/>
                <w:sz w:val="18"/>
              </w:rPr>
              <w:t>Module</w:t>
            </w:r>
          </w:p>
        </w:tc>
        <w:tc>
          <w:tcPr>
            <w:tcW w:type="dxa" w:w="10080"/>
            <w:shd w:val="clear" w:fill="123B4F"/>
          </w:tcPr>
          <w:p>
            <w:r/>
            <w:r>
              <w:rPr>
                <w:rFonts w:ascii="Calibri" w:hAnsi="Calibri"/>
                <w:b/>
                <w:i w:val="0"/>
                <w:color w:val="FFFFFF"/>
                <w:sz w:val="18"/>
              </w:rPr>
              <w:t>Hours</w:t>
            </w:r>
          </w:p>
        </w:tc>
        <w:tc>
          <w:tcPr>
            <w:tcW w:type="dxa" w:w="57600"/>
            <w:shd w:val="clear" w:fill="123B4F"/>
          </w:tcPr>
          <w:p>
            <w:r/>
            <w:r>
              <w:rPr>
                <w:rFonts w:ascii="Calibri" w:hAnsi="Calibri"/>
                <w:b/>
                <w:i w:val="0"/>
                <w:color w:val="FFFFFF"/>
                <w:sz w:val="18"/>
              </w:rPr>
              <w:t>Content</w:t>
            </w:r>
          </w:p>
        </w:tc>
        <w:tc>
          <w:tcPr>
            <w:tcW w:type="dxa" w:w="36000"/>
            <w:shd w:val="clear" w:fill="123B4F"/>
          </w:tcPr>
          <w:p>
            <w:r/>
            <w:r>
              <w:rPr>
                <w:rFonts w:ascii="Calibri" w:hAnsi="Calibri"/>
                <w:b/>
                <w:i w:val="0"/>
                <w:color w:val="FFFFFF"/>
                <w:sz w:val="18"/>
              </w:rPr>
              <w:t>Assessment</w:t>
            </w:r>
          </w:p>
        </w:tc>
      </w:tr>
      <w:tr>
        <w:tc>
          <w:tcPr>
            <w:tcW w:type="dxa" w:w="5760"/>
          </w:tcPr>
          <w:p>
            <w:r/>
            <w:r>
              <w:rPr>
                <w:rFonts w:ascii="Calibri" w:hAnsi="Calibri"/>
                <w:b w:val="0"/>
                <w:i w:val="0"/>
                <w:color w:val="1B2A32"/>
                <w:sz w:val="18"/>
              </w:rPr>
              <w:t>1</w:t>
            </w:r>
          </w:p>
        </w:tc>
        <w:tc>
          <w:tcPr>
            <w:tcW w:type="dxa" w:w="34560"/>
          </w:tcPr>
          <w:p>
            <w:r/>
            <w:r>
              <w:rPr>
                <w:rFonts w:ascii="Calibri" w:hAnsi="Calibri"/>
                <w:b w:val="0"/>
                <w:i w:val="0"/>
                <w:color w:val="1B2A32"/>
                <w:sz w:val="18"/>
              </w:rPr>
              <w:t>The forum map</w:t>
            </w:r>
          </w:p>
        </w:tc>
        <w:tc>
          <w:tcPr>
            <w:tcW w:type="dxa" w:w="10080"/>
          </w:tcPr>
          <w:p>
            <w:r/>
            <w:r>
              <w:rPr>
                <w:rFonts w:ascii="Calibri" w:hAnsi="Calibri"/>
                <w:b w:val="0"/>
                <w:i w:val="0"/>
                <w:color w:val="1B2A32"/>
                <w:sz w:val="18"/>
              </w:rPr>
              <w:t>6</w:t>
            </w:r>
          </w:p>
        </w:tc>
        <w:tc>
          <w:tcPr>
            <w:tcW w:type="dxa" w:w="57600"/>
          </w:tcPr>
          <w:p>
            <w:r/>
            <w:r>
              <w:rPr>
                <w:rFonts w:ascii="Calibri" w:hAnsi="Calibri"/>
                <w:b w:val="0"/>
                <w:i w:val="0"/>
                <w:color w:val="1B2A32"/>
                <w:sz w:val="18"/>
              </w:rPr>
              <w:t>Insurance Ombudsman Rules 2017 (am. 2021); Bima Bharosa; consumer commissions; MACT; arbitration; the retail/commercial split under the IRDAI circular of 27 October 2023</w:t>
            </w:r>
          </w:p>
        </w:tc>
        <w:tc>
          <w:tcPr>
            <w:tcW w:type="dxa" w:w="36000"/>
          </w:tcPr>
          <w:p>
            <w:r/>
            <w:r>
              <w:rPr>
                <w:rFonts w:ascii="Calibri" w:hAnsi="Calibri"/>
                <w:b w:val="0"/>
                <w:i w:val="0"/>
                <w:color w:val="1B2A32"/>
                <w:sz w:val="18"/>
              </w:rPr>
              <w:t>Routing exercise — 20 fact patterns, 90% pass mark</w:t>
            </w:r>
          </w:p>
        </w:tc>
      </w:tr>
      <w:tr>
        <w:tc>
          <w:tcPr>
            <w:tcW w:type="dxa" w:w="5760"/>
            <w:shd w:val="clear" w:fill="F3F7F9"/>
          </w:tcPr>
          <w:p>
            <w:r/>
            <w:r>
              <w:rPr>
                <w:rFonts w:ascii="Calibri" w:hAnsi="Calibri"/>
                <w:b w:val="0"/>
                <w:i w:val="0"/>
                <w:color w:val="1B2A32"/>
                <w:sz w:val="18"/>
              </w:rPr>
              <w:t>2</w:t>
            </w:r>
          </w:p>
        </w:tc>
        <w:tc>
          <w:tcPr>
            <w:tcW w:type="dxa" w:w="34560"/>
            <w:shd w:val="clear" w:fill="F3F7F9"/>
          </w:tcPr>
          <w:p>
            <w:r/>
            <w:r>
              <w:rPr>
                <w:rFonts w:ascii="Calibri" w:hAnsi="Calibri"/>
                <w:b w:val="0"/>
                <w:i w:val="0"/>
                <w:color w:val="1B2A32"/>
                <w:sz w:val="18"/>
              </w:rPr>
              <w:t>Insurance law essentials</w:t>
            </w:r>
          </w:p>
        </w:tc>
        <w:tc>
          <w:tcPr>
            <w:tcW w:type="dxa" w:w="10080"/>
            <w:shd w:val="clear" w:fill="F3F7F9"/>
          </w:tcPr>
          <w:p>
            <w:r/>
            <w:r>
              <w:rPr>
                <w:rFonts w:ascii="Calibri" w:hAnsi="Calibri"/>
                <w:b w:val="0"/>
                <w:i w:val="0"/>
                <w:color w:val="1B2A32"/>
                <w:sz w:val="18"/>
              </w:rPr>
              <w:t>10</w:t>
            </w:r>
          </w:p>
        </w:tc>
        <w:tc>
          <w:tcPr>
            <w:tcW w:type="dxa" w:w="57600"/>
            <w:shd w:val="clear" w:fill="F3F7F9"/>
          </w:tcPr>
          <w:p>
            <w:r/>
            <w:r>
              <w:rPr>
                <w:rFonts w:ascii="Calibri" w:hAnsi="Calibri"/>
                <w:b w:val="0"/>
                <w:i w:val="0"/>
                <w:color w:val="1B2A32"/>
                <w:sz w:val="18"/>
              </w:rPr>
              <w:t>Section 45 of the Insurance Act, 1938; materiality; proximate cause; contra proferentem; breach of condition and nexus; the PPHI Regulations 2024</w:t>
            </w:r>
          </w:p>
        </w:tc>
        <w:tc>
          <w:tcPr>
            <w:tcW w:type="dxa" w:w="36000"/>
            <w:shd w:val="clear" w:fill="F3F7F9"/>
          </w:tcPr>
          <w:p>
            <w:r/>
            <w:r>
              <w:rPr>
                <w:rFonts w:ascii="Calibri" w:hAnsi="Calibri"/>
                <w:b w:val="0"/>
                <w:i w:val="0"/>
                <w:color w:val="1B2A32"/>
                <w:sz w:val="18"/>
              </w:rPr>
              <w:t>Written paper</w:t>
            </w:r>
          </w:p>
        </w:tc>
      </w:tr>
      <w:tr>
        <w:tc>
          <w:tcPr>
            <w:tcW w:type="dxa" w:w="5760"/>
          </w:tcPr>
          <w:p>
            <w:r/>
            <w:r>
              <w:rPr>
                <w:rFonts w:ascii="Calibri" w:hAnsi="Calibri"/>
                <w:b w:val="0"/>
                <w:i w:val="0"/>
                <w:color w:val="1B2A32"/>
                <w:sz w:val="18"/>
              </w:rPr>
              <w:t>3</w:t>
            </w:r>
          </w:p>
        </w:tc>
        <w:tc>
          <w:tcPr>
            <w:tcW w:type="dxa" w:w="34560"/>
          </w:tcPr>
          <w:p>
            <w:r/>
            <w:r>
              <w:rPr>
                <w:rFonts w:ascii="Calibri" w:hAnsi="Calibri"/>
                <w:b w:val="0"/>
                <w:i w:val="0"/>
                <w:color w:val="1B2A32"/>
                <w:sz w:val="18"/>
              </w:rPr>
              <w:t>Reading a claim file</w:t>
            </w:r>
          </w:p>
        </w:tc>
        <w:tc>
          <w:tcPr>
            <w:tcW w:type="dxa" w:w="10080"/>
          </w:tcPr>
          <w:p>
            <w:r/>
            <w:r>
              <w:rPr>
                <w:rFonts w:ascii="Calibri" w:hAnsi="Calibri"/>
                <w:b w:val="0"/>
                <w:i w:val="0"/>
                <w:color w:val="1B2A32"/>
                <w:sz w:val="18"/>
              </w:rPr>
              <w:t>8</w:t>
            </w:r>
          </w:p>
        </w:tc>
        <w:tc>
          <w:tcPr>
            <w:tcW w:type="dxa" w:w="57600"/>
          </w:tcPr>
          <w:p>
            <w:r/>
            <w:r>
              <w:rPr>
                <w:rFonts w:ascii="Calibri" w:hAnsi="Calibri"/>
                <w:b w:val="0"/>
                <w:i w:val="0"/>
                <w:color w:val="1B2A32"/>
                <w:sz w:val="18"/>
              </w:rPr>
              <w:t>Proposal form; policy schedule and wordings; surveyor's report; investigation report; TPA computation sheet; medical records</w:t>
            </w:r>
          </w:p>
        </w:tc>
        <w:tc>
          <w:tcPr>
            <w:tcW w:type="dxa" w:w="36000"/>
          </w:tcPr>
          <w:p>
            <w:r/>
            <w:r>
              <w:rPr>
                <w:rFonts w:ascii="Calibri" w:hAnsi="Calibri"/>
                <w:b w:val="0"/>
                <w:i w:val="0"/>
                <w:color w:val="1B2A32"/>
                <w:sz w:val="18"/>
              </w:rPr>
              <w:t>Practical file exercise — build the ground-by-ground schedule</w:t>
            </w:r>
          </w:p>
        </w:tc>
      </w:tr>
      <w:tr>
        <w:tc>
          <w:tcPr>
            <w:tcW w:type="dxa" w:w="5760"/>
            <w:shd w:val="clear" w:fill="F3F7F9"/>
          </w:tcPr>
          <w:p>
            <w:r/>
            <w:r>
              <w:rPr>
                <w:rFonts w:ascii="Calibri" w:hAnsi="Calibri"/>
                <w:b w:val="0"/>
                <w:i w:val="0"/>
                <w:color w:val="1B2A32"/>
                <w:sz w:val="18"/>
              </w:rPr>
              <w:t>4</w:t>
            </w:r>
          </w:p>
        </w:tc>
        <w:tc>
          <w:tcPr>
            <w:tcW w:type="dxa" w:w="34560"/>
            <w:shd w:val="clear" w:fill="F3F7F9"/>
          </w:tcPr>
          <w:p>
            <w:r/>
            <w:r>
              <w:rPr>
                <w:rFonts w:ascii="Calibri" w:hAnsi="Calibri"/>
                <w:b w:val="0"/>
                <w:i w:val="0"/>
                <w:color w:val="1B2A32"/>
                <w:sz w:val="18"/>
              </w:rPr>
              <w:t>Health claims</w:t>
            </w:r>
          </w:p>
        </w:tc>
        <w:tc>
          <w:tcPr>
            <w:tcW w:type="dxa" w:w="10080"/>
            <w:shd w:val="clear" w:fill="F3F7F9"/>
          </w:tcPr>
          <w:p>
            <w:r/>
            <w:r>
              <w:rPr>
                <w:rFonts w:ascii="Calibri" w:hAnsi="Calibri"/>
                <w:b w:val="0"/>
                <w:i w:val="0"/>
                <w:color w:val="1B2A32"/>
                <w:sz w:val="18"/>
              </w:rPr>
              <w:t>8</w:t>
            </w:r>
          </w:p>
        </w:tc>
        <w:tc>
          <w:tcPr>
            <w:tcW w:type="dxa" w:w="57600"/>
            <w:shd w:val="clear" w:fill="F3F7F9"/>
          </w:tcPr>
          <w:p>
            <w:r/>
            <w:r>
              <w:rPr>
                <w:rFonts w:ascii="Calibri" w:hAnsi="Calibri"/>
                <w:b w:val="0"/>
                <w:i w:val="0"/>
                <w:color w:val="1B2A32"/>
                <w:sz w:val="18"/>
              </w:rPr>
              <w:t>PED and waiting periods; portability continuity; room-rent proportionality; co-pay and sub-limits; consumables; cashless denial</w:t>
            </w:r>
          </w:p>
        </w:tc>
        <w:tc>
          <w:tcPr>
            <w:tcW w:type="dxa" w:w="36000"/>
            <w:shd w:val="clear" w:fill="F3F7F9"/>
          </w:tcPr>
          <w:p>
            <w:r/>
            <w:r>
              <w:rPr>
                <w:rFonts w:ascii="Calibri" w:hAnsi="Calibri"/>
                <w:b w:val="0"/>
                <w:i w:val="0"/>
                <w:color w:val="1B2A32"/>
                <w:sz w:val="18"/>
              </w:rPr>
              <w:t>Build a line-item deduction schedule from a real bill</w:t>
            </w:r>
          </w:p>
        </w:tc>
      </w:tr>
      <w:tr>
        <w:tc>
          <w:tcPr>
            <w:tcW w:type="dxa" w:w="5760"/>
          </w:tcPr>
          <w:p>
            <w:r/>
            <w:r>
              <w:rPr>
                <w:rFonts w:ascii="Calibri" w:hAnsi="Calibri"/>
                <w:b w:val="0"/>
                <w:i w:val="0"/>
                <w:color w:val="1B2A32"/>
                <w:sz w:val="18"/>
              </w:rPr>
              <w:t>5</w:t>
            </w:r>
          </w:p>
        </w:tc>
        <w:tc>
          <w:tcPr>
            <w:tcW w:type="dxa" w:w="34560"/>
          </w:tcPr>
          <w:p>
            <w:r/>
            <w:r>
              <w:rPr>
                <w:rFonts w:ascii="Calibri" w:hAnsi="Calibri"/>
                <w:b w:val="0"/>
                <w:i w:val="0"/>
                <w:color w:val="1B2A32"/>
                <w:sz w:val="18"/>
              </w:rPr>
              <w:t>Motor claims</w:t>
            </w:r>
          </w:p>
        </w:tc>
        <w:tc>
          <w:tcPr>
            <w:tcW w:type="dxa" w:w="10080"/>
          </w:tcPr>
          <w:p>
            <w:r/>
            <w:r>
              <w:rPr>
                <w:rFonts w:ascii="Calibri" w:hAnsi="Calibri"/>
                <w:b w:val="0"/>
                <w:i w:val="0"/>
                <w:color w:val="1B2A32"/>
                <w:sz w:val="18"/>
              </w:rPr>
              <w:t>6</w:t>
            </w:r>
          </w:p>
        </w:tc>
        <w:tc>
          <w:tcPr>
            <w:tcW w:type="dxa" w:w="57600"/>
          </w:tcPr>
          <w:p>
            <w:r/>
            <w:r>
              <w:rPr>
                <w:rFonts w:ascii="Calibri" w:hAnsi="Calibri"/>
                <w:b w:val="0"/>
                <w:i w:val="0"/>
                <w:color w:val="1B2A32"/>
                <w:sz w:val="18"/>
              </w:rPr>
              <w:t>IDV; depreciation; salvage; total loss and CTL; licence, permit and intimation breaches; the non-standard settlement</w:t>
            </w:r>
          </w:p>
        </w:tc>
        <w:tc>
          <w:tcPr>
            <w:tcW w:type="dxa" w:w="36000"/>
          </w:tcPr>
          <w:p>
            <w:r/>
            <w:r>
              <w:rPr>
                <w:rFonts w:ascii="Calibri" w:hAnsi="Calibri"/>
                <w:b w:val="0"/>
                <w:i w:val="0"/>
                <w:color w:val="1B2A32"/>
                <w:sz w:val="18"/>
              </w:rPr>
              <w:t>Case study</w:t>
            </w:r>
          </w:p>
        </w:tc>
      </w:tr>
      <w:tr>
        <w:tc>
          <w:tcPr>
            <w:tcW w:type="dxa" w:w="5760"/>
            <w:shd w:val="clear" w:fill="F3F7F9"/>
          </w:tcPr>
          <w:p>
            <w:r/>
            <w:r>
              <w:rPr>
                <w:rFonts w:ascii="Calibri" w:hAnsi="Calibri"/>
                <w:b w:val="0"/>
                <w:i w:val="0"/>
                <w:color w:val="1B2A32"/>
                <w:sz w:val="18"/>
              </w:rPr>
              <w:t>6</w:t>
            </w:r>
          </w:p>
        </w:tc>
        <w:tc>
          <w:tcPr>
            <w:tcW w:type="dxa" w:w="34560"/>
            <w:shd w:val="clear" w:fill="F3F7F9"/>
          </w:tcPr>
          <w:p>
            <w:r/>
            <w:r>
              <w:rPr>
                <w:rFonts w:ascii="Calibri" w:hAnsi="Calibri"/>
                <w:b w:val="0"/>
                <w:i w:val="0"/>
                <w:color w:val="1B2A32"/>
                <w:sz w:val="18"/>
              </w:rPr>
              <w:t>Life claims</w:t>
            </w:r>
          </w:p>
        </w:tc>
        <w:tc>
          <w:tcPr>
            <w:tcW w:type="dxa" w:w="10080"/>
            <w:shd w:val="clear" w:fill="F3F7F9"/>
          </w:tcPr>
          <w:p>
            <w:r/>
            <w:r>
              <w:rPr>
                <w:rFonts w:ascii="Calibri" w:hAnsi="Calibri"/>
                <w:b w:val="0"/>
                <w:i w:val="0"/>
                <w:color w:val="1B2A32"/>
                <w:sz w:val="18"/>
              </w:rPr>
              <w:t>6</w:t>
            </w:r>
          </w:p>
        </w:tc>
        <w:tc>
          <w:tcPr>
            <w:tcW w:type="dxa" w:w="57600"/>
            <w:shd w:val="clear" w:fill="F3F7F9"/>
          </w:tcPr>
          <w:p>
            <w:r/>
            <w:r>
              <w:rPr>
                <w:rFonts w:ascii="Calibri" w:hAnsi="Calibri"/>
                <w:b w:val="0"/>
                <w:i w:val="0"/>
                <w:color w:val="1B2A32"/>
                <w:sz w:val="18"/>
              </w:rPr>
              <w:t>Early claims; the section 45 arithmetic; materiality; nomination and heirship</w:t>
            </w:r>
          </w:p>
        </w:tc>
        <w:tc>
          <w:tcPr>
            <w:tcW w:type="dxa" w:w="36000"/>
            <w:shd w:val="clear" w:fill="F3F7F9"/>
          </w:tcPr>
          <w:p>
            <w:r/>
            <w:r>
              <w:rPr>
                <w:rFonts w:ascii="Calibri" w:hAnsi="Calibri"/>
                <w:b w:val="0"/>
                <w:i w:val="0"/>
                <w:color w:val="1B2A32"/>
                <w:sz w:val="18"/>
              </w:rPr>
              <w:t>Case study — do the date arithmetic first</w:t>
            </w:r>
          </w:p>
        </w:tc>
      </w:tr>
      <w:tr>
        <w:tc>
          <w:tcPr>
            <w:tcW w:type="dxa" w:w="5760"/>
          </w:tcPr>
          <w:p>
            <w:r/>
            <w:r>
              <w:rPr>
                <w:rFonts w:ascii="Calibri" w:hAnsi="Calibri"/>
                <w:b w:val="0"/>
                <w:i w:val="0"/>
                <w:color w:val="1B2A32"/>
                <w:sz w:val="18"/>
              </w:rPr>
              <w:t>7</w:t>
            </w:r>
          </w:p>
        </w:tc>
        <w:tc>
          <w:tcPr>
            <w:tcW w:type="dxa" w:w="34560"/>
          </w:tcPr>
          <w:p>
            <w:r/>
            <w:r>
              <w:rPr>
                <w:rFonts w:ascii="Calibri" w:hAnsi="Calibri"/>
                <w:b w:val="0"/>
                <w:i w:val="0"/>
                <w:color w:val="1B2A32"/>
                <w:sz w:val="18"/>
              </w:rPr>
              <w:t>Commercial lines</w:t>
            </w:r>
          </w:p>
        </w:tc>
        <w:tc>
          <w:tcPr>
            <w:tcW w:type="dxa" w:w="10080"/>
          </w:tcPr>
          <w:p>
            <w:r/>
            <w:r>
              <w:rPr>
                <w:rFonts w:ascii="Calibri" w:hAnsi="Calibri"/>
                <w:b w:val="0"/>
                <w:i w:val="0"/>
                <w:color w:val="1B2A32"/>
                <w:sz w:val="18"/>
              </w:rPr>
              <w:t>8</w:t>
            </w:r>
          </w:p>
        </w:tc>
        <w:tc>
          <w:tcPr>
            <w:tcW w:type="dxa" w:w="57600"/>
          </w:tcPr>
          <w:p>
            <w:r/>
            <w:r>
              <w:rPr>
                <w:rFonts w:ascii="Calibri" w:hAnsi="Calibri"/>
                <w:b w:val="0"/>
                <w:i w:val="0"/>
                <w:color w:val="1B2A32"/>
                <w:sz w:val="18"/>
              </w:rPr>
              <w:t>Survey and assessment; underinsurance and average; basis of indemnity; business interruption; co-insurance and reinsurance alignment</w:t>
            </w:r>
          </w:p>
        </w:tc>
        <w:tc>
          <w:tcPr>
            <w:tcW w:type="dxa" w:w="36000"/>
          </w:tcPr>
          <w:p>
            <w:r/>
            <w:r>
              <w:rPr>
                <w:rFonts w:ascii="Calibri" w:hAnsi="Calibri"/>
                <w:b w:val="0"/>
                <w:i w:val="0"/>
                <w:color w:val="1B2A32"/>
                <w:sz w:val="18"/>
              </w:rPr>
              <w:t>Case study</w:t>
            </w:r>
          </w:p>
        </w:tc>
      </w:tr>
      <w:tr>
        <w:tc>
          <w:tcPr>
            <w:tcW w:type="dxa" w:w="5760"/>
            <w:shd w:val="clear" w:fill="F3F7F9"/>
          </w:tcPr>
          <w:p>
            <w:r/>
            <w:r>
              <w:rPr>
                <w:rFonts w:ascii="Calibri" w:hAnsi="Calibri"/>
                <w:b w:val="0"/>
                <w:i w:val="0"/>
                <w:color w:val="1B2A32"/>
                <w:sz w:val="18"/>
              </w:rPr>
              <w:t>8</w:t>
            </w:r>
          </w:p>
        </w:tc>
        <w:tc>
          <w:tcPr>
            <w:tcW w:type="dxa" w:w="34560"/>
            <w:shd w:val="clear" w:fill="F3F7F9"/>
          </w:tcPr>
          <w:p>
            <w:r/>
            <w:r>
              <w:rPr>
                <w:rFonts w:ascii="Calibri" w:hAnsi="Calibri"/>
                <w:b w:val="0"/>
                <w:i w:val="0"/>
                <w:color w:val="1B2A32"/>
                <w:sz w:val="18"/>
              </w:rPr>
              <w:t>Mis-selling</w:t>
            </w:r>
          </w:p>
        </w:tc>
        <w:tc>
          <w:tcPr>
            <w:tcW w:type="dxa" w:w="10080"/>
            <w:shd w:val="clear" w:fill="F3F7F9"/>
          </w:tcPr>
          <w:p>
            <w:r/>
            <w:r>
              <w:rPr>
                <w:rFonts w:ascii="Calibri" w:hAnsi="Calibri"/>
                <w:b w:val="0"/>
                <w:i w:val="0"/>
                <w:color w:val="1B2A32"/>
                <w:sz w:val="18"/>
              </w:rPr>
              <w:t>4</w:t>
            </w:r>
          </w:p>
        </w:tc>
        <w:tc>
          <w:tcPr>
            <w:tcW w:type="dxa" w:w="57600"/>
            <w:shd w:val="clear" w:fill="F3F7F9"/>
          </w:tcPr>
          <w:p>
            <w:r/>
            <w:r>
              <w:rPr>
                <w:rFonts w:ascii="Calibri" w:hAnsi="Calibri"/>
                <w:b w:val="0"/>
                <w:i w:val="0"/>
                <w:color w:val="1B2A32"/>
                <w:sz w:val="18"/>
              </w:rPr>
              <w:t>Free-look; benefit illustration; bancassurance and telesales patterns; the 2021 widening to deficiency in service and intermediaries; remedies beyond refund</w:t>
            </w:r>
          </w:p>
        </w:tc>
        <w:tc>
          <w:tcPr>
            <w:tcW w:type="dxa" w:w="36000"/>
            <w:shd w:val="clear" w:fill="F3F7F9"/>
          </w:tcPr>
          <w:p>
            <w:r/>
            <w:r>
              <w:rPr>
                <w:rFonts w:ascii="Calibri" w:hAnsi="Calibri"/>
                <w:b w:val="0"/>
                <w:i w:val="0"/>
                <w:color w:val="1B2A32"/>
                <w:sz w:val="18"/>
              </w:rPr>
              <w:t>Drafting exercise — a conversion settlement</w:t>
            </w:r>
          </w:p>
        </w:tc>
      </w:tr>
      <w:tr>
        <w:tc>
          <w:tcPr>
            <w:tcW w:type="dxa" w:w="5760"/>
          </w:tcPr>
          <w:p>
            <w:r/>
            <w:r>
              <w:rPr>
                <w:rFonts w:ascii="Calibri" w:hAnsi="Calibri"/>
                <w:b w:val="0"/>
                <w:i w:val="0"/>
                <w:color w:val="1B2A32"/>
                <w:sz w:val="18"/>
              </w:rPr>
              <w:t>9</w:t>
            </w:r>
          </w:p>
        </w:tc>
        <w:tc>
          <w:tcPr>
            <w:tcW w:type="dxa" w:w="34560"/>
          </w:tcPr>
          <w:p>
            <w:r/>
            <w:r>
              <w:rPr>
                <w:rFonts w:ascii="Calibri" w:hAnsi="Calibri"/>
                <w:b w:val="0"/>
                <w:i w:val="0"/>
                <w:color w:val="1B2A32"/>
                <w:sz w:val="18"/>
              </w:rPr>
              <w:t>Mediation skill</w:t>
            </w:r>
          </w:p>
        </w:tc>
        <w:tc>
          <w:tcPr>
            <w:tcW w:type="dxa" w:w="10080"/>
          </w:tcPr>
          <w:p>
            <w:r/>
            <w:r>
              <w:rPr>
                <w:rFonts w:ascii="Calibri" w:hAnsi="Calibri"/>
                <w:b w:val="0"/>
                <w:i w:val="0"/>
                <w:color w:val="1B2A32"/>
                <w:sz w:val="18"/>
              </w:rPr>
              <w:t>16</w:t>
            </w:r>
          </w:p>
        </w:tc>
        <w:tc>
          <w:tcPr>
            <w:tcW w:type="dxa" w:w="57600"/>
          </w:tcPr>
          <w:p>
            <w:r/>
            <w:r>
              <w:rPr>
                <w:rFonts w:ascii="Calibri" w:hAnsi="Calibri"/>
                <w:b w:val="0"/>
                <w:i w:val="0"/>
                <w:color w:val="1B2A32"/>
                <w:sz w:val="18"/>
              </w:rPr>
              <w:t>Structure; opening; caucus; packaging; impasse; drafting under time pressure</w:t>
            </w:r>
          </w:p>
        </w:tc>
        <w:tc>
          <w:tcPr>
            <w:tcW w:type="dxa" w:w="36000"/>
          </w:tcPr>
          <w:p>
            <w:r/>
            <w:r>
              <w:rPr>
                <w:rFonts w:ascii="Calibri" w:hAnsi="Calibri"/>
                <w:b w:val="0"/>
                <w:i w:val="0"/>
                <w:color w:val="1B2A32"/>
                <w:sz w:val="18"/>
              </w:rPr>
              <w:t>Two observed role-plays, separately assessed</w:t>
            </w:r>
          </w:p>
        </w:tc>
      </w:tr>
      <w:tr>
        <w:tc>
          <w:tcPr>
            <w:tcW w:type="dxa" w:w="5760"/>
            <w:shd w:val="clear" w:fill="F3F7F9"/>
          </w:tcPr>
          <w:p>
            <w:r/>
            <w:r>
              <w:rPr>
                <w:rFonts w:ascii="Calibri" w:hAnsi="Calibri"/>
                <w:b w:val="0"/>
                <w:i w:val="0"/>
                <w:color w:val="1B2A32"/>
                <w:sz w:val="18"/>
              </w:rPr>
              <w:t>10</w:t>
            </w:r>
          </w:p>
        </w:tc>
        <w:tc>
          <w:tcPr>
            <w:tcW w:type="dxa" w:w="34560"/>
            <w:shd w:val="clear" w:fill="F3F7F9"/>
          </w:tcPr>
          <w:p>
            <w:r/>
            <w:r>
              <w:rPr>
                <w:rFonts w:ascii="Calibri" w:hAnsi="Calibri"/>
                <w:b w:val="0"/>
                <w:i w:val="0"/>
                <w:color w:val="1B2A32"/>
                <w:sz w:val="18"/>
              </w:rPr>
              <w:t>Ethics, independence and the vulnerable party</w:t>
            </w:r>
          </w:p>
        </w:tc>
        <w:tc>
          <w:tcPr>
            <w:tcW w:type="dxa" w:w="10080"/>
            <w:shd w:val="clear" w:fill="F3F7F9"/>
          </w:tcPr>
          <w:p>
            <w:r/>
            <w:r>
              <w:rPr>
                <w:rFonts w:ascii="Calibri" w:hAnsi="Calibri"/>
                <w:b w:val="0"/>
                <w:i w:val="0"/>
                <w:color w:val="1B2A32"/>
                <w:sz w:val="18"/>
              </w:rPr>
              <w:t>8</w:t>
            </w:r>
          </w:p>
        </w:tc>
        <w:tc>
          <w:tcPr>
            <w:tcW w:type="dxa" w:w="57600"/>
            <w:shd w:val="clear" w:fill="F3F7F9"/>
          </w:tcPr>
          <w:p>
            <w:r/>
            <w:r>
              <w:rPr>
                <w:rFonts w:ascii="Calibri" w:hAnsi="Calibri"/>
                <w:b w:val="0"/>
                <w:i w:val="0"/>
                <w:color w:val="1B2A32"/>
                <w:sz w:val="18"/>
              </w:rPr>
              <w:t>Repeat-player capture; disclosure and rotation; the bereaved, seriously ill and elderly claimant; the line the neutral must not cross</w:t>
            </w:r>
          </w:p>
        </w:tc>
        <w:tc>
          <w:tcPr>
            <w:tcW w:type="dxa" w:w="36000"/>
            <w:shd w:val="clear" w:fill="F3F7F9"/>
          </w:tcPr>
          <w:p>
            <w:r/>
            <w:r>
              <w:rPr>
                <w:rFonts w:ascii="Calibri" w:hAnsi="Calibri"/>
                <w:b w:val="0"/>
                <w:i w:val="0"/>
                <w:color w:val="1B2A32"/>
                <w:sz w:val="18"/>
              </w:rPr>
              <w:t>Scenario assessment — 12 scenarios</w:t>
            </w:r>
          </w:p>
        </w:tc>
      </w:tr>
      <w:tr>
        <w:tc>
          <w:tcPr>
            <w:tcW w:type="dxa" w:w="5760"/>
          </w:tcPr>
          <w:p>
            <w:r/>
            <w:r>
              <w:rPr>
                <w:rFonts w:ascii="Calibri" w:hAnsi="Calibri"/>
                <w:b w:val="0"/>
                <w:i w:val="0"/>
                <w:color w:val="1B2A32"/>
                <w:sz w:val="18"/>
              </w:rPr>
              <w:t>11</w:t>
            </w:r>
          </w:p>
        </w:tc>
        <w:tc>
          <w:tcPr>
            <w:tcW w:type="dxa" w:w="34560"/>
          </w:tcPr>
          <w:p>
            <w:r/>
            <w:r>
              <w:rPr>
                <w:rFonts w:ascii="Calibri" w:hAnsi="Calibri"/>
                <w:b w:val="0"/>
                <w:i w:val="0"/>
                <w:color w:val="1B2A32"/>
                <w:sz w:val="18"/>
              </w:rPr>
              <w:t>Data protection and health data</w:t>
            </w:r>
          </w:p>
        </w:tc>
        <w:tc>
          <w:tcPr>
            <w:tcW w:type="dxa" w:w="10080"/>
          </w:tcPr>
          <w:p>
            <w:r/>
            <w:r>
              <w:rPr>
                <w:rFonts w:ascii="Calibri" w:hAnsi="Calibri"/>
                <w:b w:val="0"/>
                <w:i w:val="0"/>
                <w:color w:val="1B2A32"/>
                <w:sz w:val="18"/>
              </w:rPr>
              <w:t>4</w:t>
            </w:r>
          </w:p>
        </w:tc>
        <w:tc>
          <w:tcPr>
            <w:tcW w:type="dxa" w:w="57600"/>
          </w:tcPr>
          <w:p>
            <w:r/>
            <w:r>
              <w:rPr>
                <w:rFonts w:ascii="Calibri" w:hAnsi="Calibri"/>
                <w:b w:val="0"/>
                <w:i w:val="0"/>
                <w:color w:val="1B2A32"/>
                <w:sz w:val="18"/>
              </w:rPr>
              <w:t>DPDP obligations; handling and not retaining medical records; what must never enter an analytics or AI dataset</w:t>
            </w:r>
          </w:p>
        </w:tc>
        <w:tc>
          <w:tcPr>
            <w:tcW w:type="dxa" w:w="36000"/>
          </w:tcPr>
          <w:p>
            <w:r/>
            <w:r>
              <w:rPr>
                <w:rFonts w:ascii="Calibri" w:hAnsi="Calibri"/>
                <w:b w:val="0"/>
                <w:i w:val="0"/>
                <w:color w:val="1B2A32"/>
                <w:sz w:val="18"/>
              </w:rPr>
              <w:t>Test</w:t>
            </w:r>
          </w:p>
        </w:tc>
      </w:tr>
      <w:tr>
        <w:tc>
          <w:tcPr>
            <w:tcW w:type="dxa" w:w="5760"/>
            <w:shd w:val="clear" w:fill="F3F7F9"/>
          </w:tcPr>
          <w:p>
            <w:r/>
            <w:r>
              <w:rPr>
                <w:rFonts w:ascii="Calibri" w:hAnsi="Calibri"/>
                <w:b w:val="0"/>
                <w:i w:val="0"/>
                <w:color w:val="1B2A32"/>
                <w:sz w:val="18"/>
              </w:rPr>
              <w:t>12</w:t>
            </w:r>
          </w:p>
        </w:tc>
        <w:tc>
          <w:tcPr>
            <w:tcW w:type="dxa" w:w="34560"/>
            <w:shd w:val="clear" w:fill="F3F7F9"/>
          </w:tcPr>
          <w:p>
            <w:r/>
            <w:r>
              <w:rPr>
                <w:rFonts w:ascii="Calibri" w:hAnsi="Calibri"/>
                <w:b w:val="0"/>
                <w:i w:val="0"/>
                <w:color w:val="1B2A32"/>
                <w:sz w:val="18"/>
              </w:rPr>
              <w:t>The Equator process</w:t>
            </w:r>
          </w:p>
        </w:tc>
        <w:tc>
          <w:tcPr>
            <w:tcW w:type="dxa" w:w="10080"/>
            <w:shd w:val="clear" w:fill="F3F7F9"/>
          </w:tcPr>
          <w:p>
            <w:r/>
            <w:r>
              <w:rPr>
                <w:rFonts w:ascii="Calibri" w:hAnsi="Calibri"/>
                <w:b w:val="0"/>
                <w:i w:val="0"/>
                <w:color w:val="1B2A32"/>
                <w:sz w:val="18"/>
              </w:rPr>
              <w:t>6</w:t>
            </w:r>
          </w:p>
        </w:tc>
        <w:tc>
          <w:tcPr>
            <w:tcW w:type="dxa" w:w="57600"/>
            <w:shd w:val="clear" w:fill="F3F7F9"/>
          </w:tcPr>
          <w:p>
            <w:r/>
            <w:r>
              <w:rPr>
                <w:rFonts w:ascii="Calibri" w:hAnsi="Calibri"/>
                <w:b w:val="0"/>
                <w:i w:val="0"/>
                <w:color w:val="1B2A32"/>
                <w:sz w:val="18"/>
              </w:rPr>
              <w:t>Rules; Forms F-I01 to F-I20; the clock table; the signposting script; escrow; registration under s.27</w:t>
            </w:r>
          </w:p>
        </w:tc>
        <w:tc>
          <w:tcPr>
            <w:tcW w:type="dxa" w:w="36000"/>
            <w:shd w:val="clear" w:fill="F3F7F9"/>
          </w:tcPr>
          <w:p>
            <w:r/>
            <w:r>
              <w:rPr>
                <w:rFonts w:ascii="Calibri" w:hAnsi="Calibri"/>
                <w:b w:val="0"/>
                <w:i w:val="0"/>
                <w:color w:val="1B2A32"/>
                <w:sz w:val="18"/>
              </w:rPr>
              <w:t>Practical — run a triage end to end</w:t>
            </w:r>
          </w:p>
        </w:tc>
      </w:tr>
    </w:tbl>
    <w:p>
      <w:pPr>
        <w:spacing w:after="40"/>
      </w:pPr>
    </w:p>
    <w:p>
      <w:pPr>
        <w:keepNext/>
        <w:spacing w:before="280" w:after="120"/>
        <w:pBdr>
          <w:bottom w:val="single" w:sz="12" w:space="3" w:color="C6A15B"/>
        </w:pBdr>
      </w:pPr>
      <w:r>
        <w:rPr>
          <w:rFonts w:ascii="Calibri" w:hAnsi="Calibri"/>
          <w:b/>
          <w:i w:val="0"/>
          <w:color w:val="123B4F"/>
          <w:sz w:val="32"/>
        </w:rPr>
        <w:t>2.  Module 10 in detail — the ethics module</w:t>
      </w:r>
    </w:p>
    <w:p>
      <w:pPr>
        <w:spacing w:after="120"/>
        <w:jc w:val="both"/>
      </w:pPr>
      <w:r>
        <w:rPr>
          <w:rFonts w:ascii="Calibri" w:hAnsi="Calibri"/>
          <w:b w:val="0"/>
          <w:i w:val="0"/>
          <w:color w:val="1B2A32"/>
          <w:sz w:val="21"/>
        </w:rPr>
        <w:t>This is the module that fails candidates, and it is meant to. Three themes run through it.</w:t>
      </w:r>
    </w:p>
    <w:p>
      <w:pPr>
        <w:keepNext/>
        <w:spacing w:before="200" w:after="60"/>
      </w:pPr>
      <w:r>
        <w:rPr>
          <w:rFonts w:ascii="Calibri" w:hAnsi="Calibri"/>
          <w:b/>
          <w:i w:val="0"/>
          <w:color w:val="1E7A8C"/>
          <w:sz w:val="25"/>
        </w:rPr>
        <w:t>2.1  10.1  Repeat-player capture</w:t>
      </w:r>
    </w:p>
    <w:p>
      <w:pPr>
        <w:spacing w:after="120"/>
        <w:jc w:val="both"/>
      </w:pPr>
      <w:r>
        <w:rPr>
          <w:rFonts w:ascii="Calibri" w:hAnsi="Calibri"/>
          <w:b w:val="0"/>
          <w:i w:val="0"/>
          <w:color w:val="1B2A32"/>
          <w:sz w:val="21"/>
        </w:rPr>
        <w:t>The insurer will appear before you again; the policyholder will not. That asymmetry acts on a neutral whether or not the neutral notices. The programme teaches the mechanics of the controls — disclosure of appointment counts, concentration caps, rotation, cooling-off, published outcomes — and, more importantly, the habit of asking oneself, at the point of a hard call, whether the same call would be made if the parties were reversed.</w:t>
      </w:r>
    </w:p>
    <w:p>
      <w:pPr>
        <w:keepNext/>
        <w:spacing w:before="200" w:after="60"/>
      </w:pPr>
      <w:r>
        <w:rPr>
          <w:rFonts w:ascii="Calibri" w:hAnsi="Calibri"/>
          <w:b/>
          <w:i w:val="0"/>
          <w:color w:val="1E7A8C"/>
          <w:sz w:val="25"/>
        </w:rPr>
        <w:t>2.2  10.2  The line the neutral does not cross</w:t>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DRILLED IN EVERY ROLE-PLAY</w:t>
            </w:r>
          </w:p>
          <w:p>
            <w:r>
              <w:rPr>
                <w:rFonts w:ascii="Calibri" w:hAnsi="Calibri"/>
                <w:b w:val="0"/>
                <w:i w:val="0"/>
                <w:color w:val="1B2A32"/>
                <w:sz w:val="19"/>
              </w:rPr>
              <w:t>You do not say whether the claim is good. You do not predict what the Ombudsman would award. You do not advise. Your value is the structure of the questions, not an opinion. If you are about to say “in my view the exclusion doesn't apply”, stop and turn it into a question: *which test does this ground satisfy, and on what document?*</w:t>
            </w:r>
          </w:p>
        </w:tc>
      </w:tr>
    </w:tbl>
    <w:p>
      <w:pPr>
        <w:spacing w:after="40"/>
      </w:pPr>
    </w:p>
    <w:p>
      <w:pPr>
        <w:keepNext/>
        <w:spacing w:before="200" w:after="60"/>
      </w:pPr>
      <w:r>
        <w:rPr>
          <w:rFonts w:ascii="Calibri" w:hAnsi="Calibri"/>
          <w:b/>
          <w:i w:val="0"/>
          <w:color w:val="1E7A8C"/>
          <w:sz w:val="25"/>
        </w:rPr>
        <w:t>2.3  10.3  The vulnerable party</w:t>
      </w:r>
    </w:p>
    <w:p>
      <w:pPr>
        <w:pStyle w:val="ListBullet"/>
        <w:spacing w:after="60"/>
        <w:jc w:val="both"/>
      </w:pPr>
      <w:r>
        <w:rPr>
          <w:rFonts w:ascii="Calibri" w:hAnsi="Calibri"/>
          <w:b w:val="0"/>
          <w:i w:val="0"/>
          <w:color w:val="1B2A32"/>
          <w:sz w:val="21"/>
        </w:rPr>
        <w:t>Bereavement, serious illness and financial desperation all impair a person's capacity to negotiate — which is not the same as legal capacity.</w:t>
      </w:r>
    </w:p>
    <w:p>
      <w:pPr>
        <w:pStyle w:val="ListBullet"/>
        <w:spacing w:after="60"/>
        <w:jc w:val="both"/>
      </w:pPr>
      <w:r>
        <w:rPr>
          <w:rFonts w:ascii="Calibri" w:hAnsi="Calibri"/>
          <w:b w:val="0"/>
          <w:i w:val="0"/>
          <w:color w:val="1B2A32"/>
          <w:sz w:val="21"/>
        </w:rPr>
        <w:t>The tell for a settlement made under pressure is a party who agrees quickly and asks no questions.</w:t>
      </w:r>
    </w:p>
    <w:p>
      <w:pPr>
        <w:pStyle w:val="ListBullet"/>
        <w:spacing w:after="60"/>
        <w:jc w:val="both"/>
      </w:pPr>
      <w:r>
        <w:rPr>
          <w:rFonts w:ascii="Calibri" w:hAnsi="Calibri"/>
          <w:b w:val="0"/>
          <w:i w:val="0"/>
          <w:color w:val="1B2A32"/>
          <w:sz w:val="21"/>
        </w:rPr>
        <w:t>Safeguards available: a support person, an interpreter, shorter sessions, shuttle mediation, an adjournment, and — always — the right to take the draft away and think.</w:t>
      </w:r>
    </w:p>
    <w:p>
      <w:pPr>
        <w:pStyle w:val="ListBullet"/>
        <w:spacing w:after="60"/>
        <w:jc w:val="both"/>
      </w:pPr>
      <w:r>
        <w:rPr>
          <w:rFonts w:ascii="Calibri" w:hAnsi="Calibri"/>
          <w:b w:val="0"/>
          <w:i w:val="0"/>
          <w:color w:val="1B2A32"/>
          <w:sz w:val="21"/>
        </w:rPr>
        <w:t>A neutral who is not satisfied that a party understands the settlement must not let it be signed.</w:t>
      </w:r>
    </w:p>
    <w:p>
      <w:pPr>
        <w:keepNext/>
        <w:spacing w:before="280" w:after="120"/>
        <w:pBdr>
          <w:bottom w:val="single" w:sz="12" w:space="3" w:color="C6A15B"/>
        </w:pBdr>
      </w:pPr>
      <w:r>
        <w:rPr>
          <w:rFonts w:ascii="Calibri" w:hAnsi="Calibri"/>
          <w:b/>
          <w:i w:val="0"/>
          <w:color w:val="123B4F"/>
          <w:sz w:val="32"/>
        </w:rPr>
        <w:t>3.  Assessment and certification</w:t>
      </w:r>
    </w:p>
    <w:tbl>
      <w:tblPr>
        <w:tblStyle w:val="TableGrid"/>
        <w:tblW w:type="auto" w:w="0"/>
        <w:jc w:val="center"/>
        <w:tblLook w:firstColumn="1" w:firstRow="1" w:lastColumn="0" w:lastRow="0" w:noHBand="0" w:noVBand="1" w:val="04A0"/>
      </w:tblPr>
      <w:tblGrid>
        <w:gridCol w:w="3168"/>
        <w:gridCol w:w="3168"/>
        <w:gridCol w:w="3168"/>
      </w:tblGrid>
      <w:tr>
        <w:tc>
          <w:tcPr>
            <w:tcW w:type="dxa" w:w="60480"/>
            <w:shd w:val="clear" w:fill="123B4F"/>
          </w:tcPr>
          <w:p>
            <w:r/>
            <w:r>
              <w:rPr>
                <w:rFonts w:ascii="Calibri" w:hAnsi="Calibri"/>
                <w:b/>
                <w:i w:val="0"/>
                <w:color w:val="FFFFFF"/>
                <w:sz w:val="18"/>
              </w:rPr>
              <w:t>Assessment</w:t>
            </w:r>
          </w:p>
        </w:tc>
        <w:tc>
          <w:tcPr>
            <w:tcW w:type="dxa" w:w="20160"/>
            <w:shd w:val="clear" w:fill="123B4F"/>
          </w:tcPr>
          <w:p>
            <w:r/>
            <w:r>
              <w:rPr>
                <w:rFonts w:ascii="Calibri" w:hAnsi="Calibri"/>
                <w:b/>
                <w:i w:val="0"/>
                <w:color w:val="FFFFFF"/>
                <w:sz w:val="18"/>
              </w:rPr>
              <w:t>Weight</w:t>
            </w:r>
          </w:p>
        </w:tc>
        <w:tc>
          <w:tcPr>
            <w:tcW w:type="dxa" w:w="63360"/>
            <w:shd w:val="clear" w:fill="123B4F"/>
          </w:tcPr>
          <w:p>
            <w:r/>
            <w:r>
              <w:rPr>
                <w:rFonts w:ascii="Calibri" w:hAnsi="Calibri"/>
                <w:b/>
                <w:i w:val="0"/>
                <w:color w:val="FFFFFF"/>
                <w:sz w:val="18"/>
              </w:rPr>
              <w:t>Pass standard</w:t>
            </w:r>
          </w:p>
        </w:tc>
      </w:tr>
      <w:tr>
        <w:tc>
          <w:tcPr>
            <w:tcW w:type="dxa" w:w="60480"/>
          </w:tcPr>
          <w:p>
            <w:r/>
            <w:r>
              <w:rPr>
                <w:rFonts w:ascii="Calibri" w:hAnsi="Calibri"/>
                <w:b w:val="0"/>
                <w:i w:val="0"/>
                <w:color w:val="1B2A32"/>
                <w:sz w:val="18"/>
              </w:rPr>
              <w:t>Written paper (modules 2, 11)</w:t>
            </w:r>
          </w:p>
        </w:tc>
        <w:tc>
          <w:tcPr>
            <w:tcW w:type="dxa" w:w="20160"/>
          </w:tcPr>
          <w:p>
            <w:r/>
            <w:r>
              <w:rPr>
                <w:rFonts w:ascii="Calibri" w:hAnsi="Calibri"/>
                <w:b w:val="0"/>
                <w:i w:val="0"/>
                <w:color w:val="1B2A32"/>
                <w:sz w:val="18"/>
              </w:rPr>
              <w:t>20%</w:t>
            </w:r>
          </w:p>
        </w:tc>
        <w:tc>
          <w:tcPr>
            <w:tcW w:type="dxa" w:w="63360"/>
          </w:tcPr>
          <w:p>
            <w:r/>
            <w:r>
              <w:rPr>
                <w:rFonts w:ascii="Calibri" w:hAnsi="Calibri"/>
                <w:b w:val="0"/>
                <w:i w:val="0"/>
                <w:color w:val="1B2A32"/>
                <w:sz w:val="18"/>
              </w:rPr>
              <w:t>70%</w:t>
            </w:r>
          </w:p>
        </w:tc>
      </w:tr>
      <w:tr>
        <w:tc>
          <w:tcPr>
            <w:tcW w:type="dxa" w:w="60480"/>
            <w:shd w:val="clear" w:fill="F3F7F9"/>
          </w:tcPr>
          <w:p>
            <w:r/>
            <w:r>
              <w:rPr>
                <w:rFonts w:ascii="Calibri" w:hAnsi="Calibri"/>
                <w:b w:val="0"/>
                <w:i w:val="0"/>
                <w:color w:val="1B2A32"/>
                <w:sz w:val="18"/>
              </w:rPr>
              <w:t>Practical file exercises (modules 3, 4)</w:t>
            </w:r>
          </w:p>
        </w:tc>
        <w:tc>
          <w:tcPr>
            <w:tcW w:type="dxa" w:w="20160"/>
            <w:shd w:val="clear" w:fill="F3F7F9"/>
          </w:tcPr>
          <w:p>
            <w:r/>
            <w:r>
              <w:rPr>
                <w:rFonts w:ascii="Calibri" w:hAnsi="Calibri"/>
                <w:b w:val="0"/>
                <w:i w:val="0"/>
                <w:color w:val="1B2A32"/>
                <w:sz w:val="18"/>
              </w:rPr>
              <w:t>20%</w:t>
            </w:r>
          </w:p>
        </w:tc>
        <w:tc>
          <w:tcPr>
            <w:tcW w:type="dxa" w:w="63360"/>
            <w:shd w:val="clear" w:fill="F3F7F9"/>
          </w:tcPr>
          <w:p>
            <w:r/>
            <w:r>
              <w:rPr>
                <w:rFonts w:ascii="Calibri" w:hAnsi="Calibri"/>
                <w:b w:val="0"/>
                <w:i w:val="0"/>
                <w:color w:val="1B2A32"/>
                <w:sz w:val="18"/>
              </w:rPr>
              <w:t>Competent on every criterion</w:t>
            </w:r>
          </w:p>
        </w:tc>
      </w:tr>
      <w:tr>
        <w:tc>
          <w:tcPr>
            <w:tcW w:type="dxa" w:w="60480"/>
          </w:tcPr>
          <w:p>
            <w:r/>
            <w:r>
              <w:rPr>
                <w:rFonts w:ascii="Calibri" w:hAnsi="Calibri"/>
                <w:b w:val="0"/>
                <w:i w:val="0"/>
                <w:color w:val="1B2A32"/>
                <w:sz w:val="18"/>
              </w:rPr>
              <w:t>Case studies (modules 5, 6, 7)</w:t>
            </w:r>
          </w:p>
        </w:tc>
        <w:tc>
          <w:tcPr>
            <w:tcW w:type="dxa" w:w="20160"/>
          </w:tcPr>
          <w:p>
            <w:r/>
            <w:r>
              <w:rPr>
                <w:rFonts w:ascii="Calibri" w:hAnsi="Calibri"/>
                <w:b w:val="0"/>
                <w:i w:val="0"/>
                <w:color w:val="1B2A32"/>
                <w:sz w:val="18"/>
              </w:rPr>
              <w:t>15%</w:t>
            </w:r>
          </w:p>
        </w:tc>
        <w:tc>
          <w:tcPr>
            <w:tcW w:type="dxa" w:w="63360"/>
          </w:tcPr>
          <w:p>
            <w:r/>
            <w:r>
              <w:rPr>
                <w:rFonts w:ascii="Calibri" w:hAnsi="Calibri"/>
                <w:b w:val="0"/>
                <w:i w:val="0"/>
                <w:color w:val="1B2A32"/>
                <w:sz w:val="18"/>
              </w:rPr>
              <w:t>70%</w:t>
            </w:r>
          </w:p>
        </w:tc>
      </w:tr>
      <w:tr>
        <w:tc>
          <w:tcPr>
            <w:tcW w:type="dxa" w:w="60480"/>
            <w:shd w:val="clear" w:fill="F3F7F9"/>
          </w:tcPr>
          <w:p>
            <w:r/>
            <w:r>
              <w:rPr>
                <w:rFonts w:ascii="Calibri" w:hAnsi="Calibri"/>
                <w:b w:val="0"/>
                <w:i w:val="0"/>
                <w:color w:val="1B2A32"/>
                <w:sz w:val="18"/>
              </w:rPr>
              <w:t>Observed role-plays (module 9)</w:t>
            </w:r>
          </w:p>
        </w:tc>
        <w:tc>
          <w:tcPr>
            <w:tcW w:type="dxa" w:w="20160"/>
            <w:shd w:val="clear" w:fill="F3F7F9"/>
          </w:tcPr>
          <w:p>
            <w:r/>
            <w:r>
              <w:rPr>
                <w:rFonts w:ascii="Calibri" w:hAnsi="Calibri"/>
                <w:b w:val="0"/>
                <w:i w:val="0"/>
                <w:color w:val="1B2A32"/>
                <w:sz w:val="18"/>
              </w:rPr>
              <w:t>25%</w:t>
            </w:r>
          </w:p>
        </w:tc>
        <w:tc>
          <w:tcPr>
            <w:tcW w:type="dxa" w:w="63360"/>
            <w:shd w:val="clear" w:fill="F3F7F9"/>
          </w:tcPr>
          <w:p>
            <w:r/>
            <w:r>
              <w:rPr>
                <w:rFonts w:ascii="Calibri" w:hAnsi="Calibri"/>
                <w:b w:val="0"/>
                <w:i w:val="0"/>
                <w:color w:val="1B2A32"/>
                <w:sz w:val="18"/>
              </w:rPr>
              <w:t>Competent on both; no compensation across the two</w:t>
            </w:r>
          </w:p>
        </w:tc>
      </w:tr>
      <w:tr>
        <w:tc>
          <w:tcPr>
            <w:tcW w:type="dxa" w:w="60480"/>
          </w:tcPr>
          <w:p>
            <w:r/>
            <w:r>
              <w:rPr>
                <w:rFonts w:ascii="Calibri" w:hAnsi="Calibri"/>
                <w:b w:val="0"/>
                <w:i w:val="0"/>
                <w:color w:val="1B2A32"/>
                <w:sz w:val="18"/>
              </w:rPr>
              <w:t>Ethics scenarios (module 10)</w:t>
            </w:r>
          </w:p>
        </w:tc>
        <w:tc>
          <w:tcPr>
            <w:tcW w:type="dxa" w:w="20160"/>
          </w:tcPr>
          <w:p>
            <w:r/>
            <w:r>
              <w:rPr>
                <w:rFonts w:ascii="Calibri" w:hAnsi="Calibri"/>
                <w:b w:val="0"/>
                <w:i w:val="0"/>
                <w:color w:val="1B2A32"/>
                <w:sz w:val="18"/>
              </w:rPr>
              <w:t>20%</w:t>
            </w:r>
          </w:p>
        </w:tc>
        <w:tc>
          <w:tcPr>
            <w:tcW w:type="dxa" w:w="63360"/>
          </w:tcPr>
          <w:p>
            <w:r/>
            <w:r>
              <w:rPr>
                <w:rFonts w:ascii="Calibri" w:hAnsi="Calibri"/>
                <w:b/>
                <w:i w:val="0"/>
                <w:color w:val="1B2A32"/>
                <w:sz w:val="18"/>
              </w:rPr>
              <w:t>90% — no compensation from other components</w:t>
            </w:r>
          </w:p>
        </w:tc>
      </w:tr>
      <w:tr>
        <w:tc>
          <w:tcPr>
            <w:tcW w:type="dxa" w:w="60480"/>
            <w:shd w:val="clear" w:fill="F3F7F9"/>
          </w:tcPr>
          <w:p>
            <w:r/>
            <w:r>
              <w:rPr>
                <w:rFonts w:ascii="Calibri" w:hAnsi="Calibri"/>
                <w:b w:val="0"/>
                <w:i w:val="0"/>
                <w:color w:val="1B2A32"/>
                <w:sz w:val="18"/>
              </w:rPr>
              <w:t>Supervised practice</w:t>
            </w:r>
          </w:p>
        </w:tc>
        <w:tc>
          <w:tcPr>
            <w:tcW w:type="dxa" w:w="20160"/>
            <w:shd w:val="clear" w:fill="F3F7F9"/>
          </w:tcPr>
          <w:p>
            <w:r/>
            <w:r>
              <w:rPr>
                <w:rFonts w:ascii="Calibri" w:hAnsi="Calibri"/>
                <w:b w:val="0"/>
                <w:i w:val="0"/>
                <w:color w:val="1B2A32"/>
                <w:sz w:val="18"/>
              </w:rPr>
              <w:t>Gate</w:t>
            </w:r>
          </w:p>
        </w:tc>
        <w:tc>
          <w:tcPr>
            <w:tcW w:type="dxa" w:w="63360"/>
            <w:shd w:val="clear" w:fill="F3F7F9"/>
          </w:tcPr>
          <w:p>
            <w:r/>
            <w:r>
              <w:rPr>
                <w:rFonts w:ascii="Calibri" w:hAnsi="Calibri"/>
                <w:b w:val="0"/>
                <w:i w:val="0"/>
                <w:color w:val="1B2A32"/>
                <w:sz w:val="18"/>
              </w:rPr>
              <w:t>Three cases signed off by an accredited supervisor</w:t>
            </w:r>
          </w:p>
        </w:tc>
      </w:tr>
    </w:tbl>
    <w:p>
      <w:pPr>
        <w:spacing w:after="40"/>
      </w:pPr>
    </w:p>
    <w:p>
      <w:pPr>
        <w:spacing w:after="120"/>
        <w:jc w:val="both"/>
      </w:pPr>
      <w:r>
        <w:rPr>
          <w:rFonts w:ascii="Calibri" w:hAnsi="Calibri"/>
          <w:b w:val="0"/>
          <w:i w:val="0"/>
          <w:color w:val="1B2A32"/>
          <w:sz w:val="21"/>
        </w:rPr>
        <w:t>A candidate who fails the ethics component does not pass, whatever the other scores. That is deliberate.</w:t>
      </w:r>
    </w:p>
    <w:p>
      <w:pPr>
        <w:keepNext/>
        <w:spacing w:before="280" w:after="120"/>
        <w:pBdr>
          <w:bottom w:val="single" w:sz="12" w:space="3" w:color="C6A15B"/>
        </w:pBdr>
      </w:pPr>
      <w:r>
        <w:rPr>
          <w:rFonts w:ascii="Calibri" w:hAnsi="Calibri"/>
          <w:b/>
          <w:i w:val="0"/>
          <w:color w:val="123B4F"/>
          <w:sz w:val="32"/>
        </w:rPr>
        <w:t>4.  Panel obligations after certification</w:t>
      </w:r>
    </w:p>
    <w:p>
      <w:pPr>
        <w:pStyle w:val="ListNumber"/>
        <w:spacing w:after="60"/>
        <w:jc w:val="both"/>
      </w:pPr>
      <w:r>
        <w:rPr>
          <w:rFonts w:ascii="Calibri" w:hAnsi="Calibri"/>
          <w:b w:val="0"/>
          <w:i w:val="0"/>
          <w:color w:val="1B2A32"/>
          <w:sz w:val="21"/>
        </w:rPr>
        <w:t>Complete Form F-I15 before every appointment, disclosing relationships and appointment counts.</w:t>
      </w:r>
    </w:p>
    <w:p>
      <w:pPr>
        <w:pStyle w:val="ListNumber"/>
        <w:spacing w:after="60"/>
        <w:jc w:val="both"/>
      </w:pPr>
      <w:r>
        <w:rPr>
          <w:rFonts w:ascii="Calibri" w:hAnsi="Calibri"/>
          <w:b w:val="0"/>
          <w:i w:val="0"/>
          <w:color w:val="1B2A32"/>
          <w:sz w:val="21"/>
        </w:rPr>
        <w:t>Accept the concentration cap on appointments attributable to a single insurer.</w:t>
      </w:r>
    </w:p>
    <w:p>
      <w:pPr>
        <w:pStyle w:val="ListNumber"/>
        <w:spacing w:after="60"/>
        <w:jc w:val="both"/>
      </w:pPr>
      <w:r>
        <w:rPr>
          <w:rFonts w:ascii="Calibri" w:hAnsi="Calibri"/>
          <w:b w:val="0"/>
          <w:i w:val="0"/>
          <w:color w:val="1B2A32"/>
          <w:sz w:val="21"/>
        </w:rPr>
        <w:t>Accept rotation and cooling-off.</w:t>
      </w:r>
    </w:p>
    <w:p>
      <w:pPr>
        <w:pStyle w:val="ListNumber"/>
        <w:spacing w:after="60"/>
        <w:jc w:val="both"/>
      </w:pPr>
      <w:r>
        <w:rPr>
          <w:rFonts w:ascii="Calibri" w:hAnsi="Calibri"/>
          <w:b w:val="0"/>
          <w:i w:val="0"/>
          <w:color w:val="1B2A32"/>
          <w:sz w:val="21"/>
        </w:rPr>
        <w:t>Participate in quarterly outcome publication.</w:t>
      </w:r>
    </w:p>
    <w:p>
      <w:pPr>
        <w:pStyle w:val="ListNumber"/>
        <w:spacing w:after="60"/>
        <w:jc w:val="both"/>
      </w:pPr>
      <w:r>
        <w:rPr>
          <w:rFonts w:ascii="Calibri" w:hAnsi="Calibri"/>
          <w:b w:val="0"/>
          <w:i w:val="0"/>
          <w:color w:val="1B2A32"/>
          <w:sz w:val="21"/>
        </w:rPr>
        <w:t>Complete 12 CPD hours and an ethics refresher every two years.</w:t>
      </w:r>
    </w:p>
    <w:p>
      <w:pPr>
        <w:pStyle w:val="ListNumber"/>
        <w:spacing w:after="60"/>
        <w:jc w:val="both"/>
      </w:pPr>
      <w:r>
        <w:rPr>
          <w:rFonts w:ascii="Calibri" w:hAnsi="Calibri"/>
          <w:b w:val="0"/>
          <w:i w:val="0"/>
          <w:color w:val="1B2A32"/>
          <w:sz w:val="21"/>
        </w:rPr>
        <w:t>Report immediately anything that could give rise to justifiable doubts as to independence.</w:t>
      </w: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Insurance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F9537AC-E0B1-42E1-8983-93F696C3E1EF}"/>
</file>

<file path=customXml/itemProps3.xml><?xml version="1.0" encoding="utf-8"?>
<ds:datastoreItem xmlns:ds="http://schemas.openxmlformats.org/officeDocument/2006/customXml" ds:itemID="{13280797-5B4A-4CF7-9D5E-9EB55F8F734A}"/>
</file>

<file path=customXml/itemProps4.xml><?xml version="1.0" encoding="utf-8"?>
<ds:datastoreItem xmlns:ds="http://schemas.openxmlformats.org/officeDocument/2006/customXml" ds:itemID="{14F45F46-96BA-406A-AF74-B2006F189C6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