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jc w:val="center"/>
      </w:pPr>
      <w:r>
        <w:rPr>
          <w:rFonts w:ascii="Calibri" w:hAnsi="Calibri"/>
          <w:b/>
          <w:i w:val="0"/>
          <w:color w:val="123B4F"/>
          <w:sz w:val="60"/>
        </w:rPr>
        <w:t>EQUATOR RESOLUTION</w:t>
      </w:r>
    </w:p>
    <w:p>
      <w:pPr>
        <w:spacing w:after="40"/>
        <w:jc w:val="center"/>
      </w:pPr>
      <w:r>
        <w:rPr>
          <w:rFonts w:ascii="Calibri" w:hAnsi="Calibri"/>
          <w:b w:val="0"/>
          <w:i/>
          <w:color w:val="1E7A8C"/>
          <w:sz w:val="25"/>
        </w:rPr>
        <w:t>Institutional Mediation &amp; Online Dispute Resolution</w:t>
      </w:r>
    </w:p>
    <w:p>
      <w:pPr>
        <w:jc w:val="center"/>
        <w:pBdr>
          <w:bottom w:val="single" w:sz="18" w:space="3" w:color="C6A15B"/>
        </w:pBdr>
      </w:pPr>
      <w:r>
        <w:rPr>
          <w:rFonts w:ascii="Calibri" w:hAnsi="Calibri"/>
          <w:b w:val="0"/>
          <w:i w:val="0"/>
          <w:color w:val="556168"/>
          <w:sz w:val="19"/>
        </w:rPr>
        <w:t>www.equatorresolution.com   ·   An Infrabyx Group Venture</w:t>
      </w:r>
    </w:p>
    <w:p>
      <w:pPr>
        <w:spacing w:after="200"/>
      </w:pPr>
    </w:p>
    <w:p>
      <w:pPr>
        <w:spacing w:after="200"/>
      </w:pPr>
    </w:p>
    <w:p>
      <w:pPr>
        <w:spacing w:after="80"/>
        <w:jc w:val="center"/>
      </w:pPr>
      <w:r>
        <w:rPr>
          <w:rFonts w:ascii="Calibri" w:hAnsi="Calibri"/>
          <w:b/>
          <w:i w:val="0"/>
          <w:color w:val="123B4F"/>
          <w:sz w:val="50"/>
        </w:rPr>
        <w:t>Marital &amp; Family Dispute Resolution</w:t>
      </w:r>
    </w:p>
    <w:p>
      <w:pPr>
        <w:jc w:val="center"/>
      </w:pPr>
      <w:r>
        <w:rPr>
          <w:rFonts w:ascii="Calibri" w:hAnsi="Calibri"/>
          <w:b w:val="0"/>
          <w:i w:val="0"/>
          <w:color w:val="1E7A8C"/>
          <w:sz w:val="30"/>
        </w:rPr>
        <w:t>Platform Design, Legal Framework &amp; Operating Blueprint</w:t>
      </w:r>
    </w:p>
    <w:p>
      <w:pPr>
        <w:spacing w:before="120"/>
        <w:jc w:val="center"/>
      </w:pPr>
      <w:r>
        <w:rPr>
          <w:rFonts w:ascii="Calibri" w:hAnsi="Calibri"/>
          <w:b w:val="0"/>
          <w:i/>
          <w:color w:val="1B2A32"/>
          <w:sz w:val="22"/>
        </w:rPr>
        <w:t>A mediation-first pathway for couples to resolve separation, maintenance, custody,</w:t>
        <w:br/>
        <w:t>property and connected criminal matters — privately, with dignity, and within a</w:t>
        <w:br/>
        <w:t>statutory time-bound process under the Mediation Act, 2023.</w:t>
      </w:r>
    </w:p>
    <w:p>
      <w:pPr>
        <w:spacing w:after="200"/>
      </w:pPr>
    </w:p>
    <w:p>
      <w:pPr>
        <w:spacing w:after="200"/>
      </w:pPr>
    </w:p>
    <w:p>
      <w:pPr>
        <w:spacing w:after="200"/>
      </w:pPr>
    </w:p>
    <w:tbl>
      <w:tblPr>
        <w:tblW w:type="auto" w:w="0"/>
        <w:jc w:val="center"/>
        <w:tblLayout w:type="fixed"/>
        <w:tblLook w:firstColumn="1" w:firstRow="1" w:lastColumn="0" w:lastRow="0" w:noHBand="0" w:noVBand="1" w:val="04A0"/>
        <w:tblBorders>
          <w:top w:val="single" w:sz="6" w:space="0" w:color="C6A15B"/>
          <w:left w:val="single" w:sz="6" w:space="0" w:color="C6A15B"/>
          <w:bottom w:val="single" w:sz="6" w:space="0" w:color="C6A15B"/>
          <w:right w:val="single" w:sz="6" w:space="0" w:color="C6A15B"/>
          <w:insideH w:val="single" w:sz="6" w:space="0" w:color="C6A15B"/>
          <w:insideV w:val="single" w:sz="6" w:space="0" w:color="C6A15B"/>
        </w:tblBorders>
      </w:tblPr>
      <w:tblGrid>
        <w:gridCol w:w="4752"/>
        <w:gridCol w:w="4752"/>
      </w:tblGrid>
      <w:tr>
        <w:tc>
          <w:tcPr>
            <w:tcW w:type="dxa" w:w="3024"/>
            <w:shd w:val="clear" w:color="auto" w:fill="123B4F"/>
            <w:tcMar>
              <w:top w:w="60" w:type="dxa"/>
              <w:bottom w:w="60" w:type="dxa"/>
              <w:start w:w="110" w:type="dxa"/>
              <w:end w:w="110" w:type="dxa"/>
            </w:tcMar>
          </w:tcPr>
          <w:p>
            <w:r/>
            <w:r>
              <w:rPr>
                <w:rFonts w:ascii="Calibri" w:hAnsi="Calibri"/>
                <w:b/>
                <w:i w:val="0"/>
                <w:color w:val="FFFFFF"/>
                <w:sz w:val="19"/>
              </w:rPr>
              <w:t>Document</w:t>
            </w:r>
          </w:p>
          <w:p>
            <w:r>
              <w:rPr>
                <w:rFonts w:ascii="Calibri" w:hAnsi="Calibri"/>
                <w:b/>
                <w:i w:val="0"/>
                <w:color w:val="FFFFFF"/>
                <w:sz w:val="19"/>
              </w:rPr>
              <w:t>Version / Date</w:t>
            </w:r>
          </w:p>
          <w:p>
            <w:r>
              <w:rPr>
                <w:rFonts w:ascii="Calibri" w:hAnsi="Calibri"/>
                <w:b/>
                <w:i w:val="0"/>
                <w:color w:val="FFFFFF"/>
                <w:sz w:val="19"/>
              </w:rPr>
              <w:t>Prepared for</w:t>
            </w:r>
          </w:p>
          <w:p>
            <w:r>
              <w:rPr>
                <w:rFonts w:ascii="Calibri" w:hAnsi="Calibri"/>
                <w:b/>
                <w:i w:val="0"/>
                <w:color w:val="FFFFFF"/>
                <w:sz w:val="19"/>
              </w:rPr>
              <w:t>Regulatory basis</w:t>
            </w:r>
          </w:p>
          <w:p>
            <w:r>
              <w:rPr>
                <w:rFonts w:ascii="Calibri" w:hAnsi="Calibri"/>
                <w:b/>
                <w:i w:val="0"/>
                <w:color w:val="FFFFFF"/>
                <w:sz w:val="19"/>
              </w:rPr>
              <w:t>Classification</w:t>
            </w:r>
          </w:p>
          <w:p>
            <w:r>
              <w:rPr>
                <w:rFonts w:ascii="Calibri" w:hAnsi="Calibri"/>
                <w:b/>
                <w:i w:val="0"/>
                <w:color w:val="FFFFFF"/>
                <w:sz w:val="19"/>
              </w:rPr>
              <w:t>Companion assets</w:t>
            </w:r>
          </w:p>
        </w:tc>
        <w:tc>
          <w:tcPr>
            <w:tcW w:type="dxa" w:w="6336"/>
            <w:shd w:val="clear" w:color="auto" w:fill="DCEAEF"/>
            <w:tcMar>
              <w:top w:w="60" w:type="dxa"/>
              <w:bottom w:w="60" w:type="dxa"/>
              <w:start w:w="110" w:type="dxa"/>
              <w:end w:w="110" w:type="dxa"/>
            </w:tcMar>
          </w:tcPr>
          <w:p>
            <w:r>
              <w:rPr>
                <w:rFonts w:ascii="Calibri" w:hAnsi="Calibri"/>
                <w:b w:val="0"/>
                <w:i w:val="0"/>
                <w:color w:val="1B2A32"/>
                <w:sz w:val="19"/>
              </w:rPr>
              <w:t>Master Blueprint — Family Vertical</w:t>
            </w:r>
          </w:p>
          <w:p>
            <w:r>
              <w:rPr>
                <w:rFonts w:ascii="Calibri" w:hAnsi="Calibri"/>
                <w:b w:val="0"/>
                <w:i w:val="0"/>
                <w:color w:val="1B2A32"/>
                <w:sz w:val="19"/>
              </w:rPr>
              <w:t>Version 1.0  ·  July 2026</w:t>
            </w:r>
          </w:p>
          <w:p>
            <w:r>
              <w:rPr>
                <w:rFonts w:ascii="Calibri" w:hAnsi="Calibri"/>
                <w:b w:val="0"/>
                <w:i w:val="0"/>
                <w:color w:val="1B2A32"/>
                <w:sz w:val="19"/>
              </w:rPr>
              <w:t>Equator Resolution (Infrabyx Group)</w:t>
            </w:r>
          </w:p>
          <w:p>
            <w:r>
              <w:rPr>
                <w:rFonts w:ascii="Calibri" w:hAnsi="Calibri"/>
                <w:b w:val="0"/>
                <w:i w:val="0"/>
                <w:color w:val="1B2A32"/>
                <w:sz w:val="19"/>
              </w:rPr>
              <w:t>Mediation Act, 2023 (Act No. 32 of 2023)</w:t>
            </w:r>
          </w:p>
          <w:p>
            <w:r>
              <w:rPr>
                <w:rFonts w:ascii="Calibri" w:hAnsi="Calibri"/>
                <w:b w:val="0"/>
                <w:i w:val="0"/>
                <w:color w:val="1B2A32"/>
                <w:sz w:val="19"/>
              </w:rPr>
              <w:t>Strictly Confidential — Internal &amp; Advisory</w:t>
            </w:r>
          </w:p>
          <w:p>
            <w:r>
              <w:rPr>
                <w:rFonts w:ascii="Calibri" w:hAnsi="Calibri"/>
                <w:b w:val="0"/>
                <w:i w:val="0"/>
                <w:color w:val="1B2A32"/>
                <w:sz w:val="19"/>
              </w:rPr>
              <w:t>Forms Pack · Developer Handoff Workbook · Workflow Diagram Set</w:t>
            </w:r>
          </w:p>
        </w:tc>
      </w:tr>
    </w:tbl>
    <w:p>
      <w:r>
        <w:br w:type="page"/>
      </w:r>
    </w:p>
    <w:p>
      <w:pPr>
        <w:keepNext/>
        <w:spacing w:before="320" w:after="140"/>
        <w:pBdr>
          <w:bottom w:val="single" w:sz="12" w:space="3" w:color="C6A15B"/>
        </w:pBdr>
      </w:pPr>
      <w:r>
        <w:rPr>
          <w:rFonts w:ascii="Calibri" w:hAnsi="Calibri"/>
          <w:b/>
          <w:i w:val="0"/>
          <w:color w:val="123B4F"/>
          <w:sz w:val="34"/>
        </w:rPr>
        <w:t>Important Notice, Scope &amp; How to Use This Document</w:t>
      </w:r>
    </w:p>
    <w:p>
      <w:pPr>
        <w:spacing w:after="140"/>
        <w:jc w:val="both"/>
      </w:pPr>
      <w:r>
        <w:rPr>
          <w:rFonts w:ascii="Calibri" w:hAnsi="Calibri"/>
          <w:b w:val="0"/>
          <w:i w:val="0"/>
          <w:color w:val="1B2A32"/>
          <w:sz w:val="21"/>
        </w:rPr>
        <w:t xml:space="preserve">This Blueprint is a design and advisory document prepared to guide the build-out and operation of Equator Resolution's Marital &amp; Family Dispute Resolution vertical. It performs three roles at once: it frames the market and regulatory </w:t>
      </w:r>
      <w:r>
        <w:rPr>
          <w:rFonts w:ascii="Calibri" w:hAnsi="Calibri"/>
          <w:b/>
          <w:i w:val="0"/>
          <w:color w:val="1B2A32"/>
          <w:sz w:val="21"/>
        </w:rPr>
        <w:t>opportunity</w:t>
      </w:r>
      <w:r>
        <w:rPr>
          <w:rFonts w:ascii="Calibri" w:hAnsi="Calibri"/>
          <w:b w:val="0"/>
          <w:i w:val="0"/>
          <w:color w:val="1B2A32"/>
          <w:sz w:val="21"/>
        </w:rPr>
        <w:t xml:space="preserve"> for leadership and investors; it sets out the </w:t>
      </w:r>
      <w:r>
        <w:rPr>
          <w:rFonts w:ascii="Calibri" w:hAnsi="Calibri"/>
          <w:b/>
          <w:i w:val="0"/>
          <w:color w:val="1B2A32"/>
          <w:sz w:val="21"/>
        </w:rPr>
        <w:t>legal framework</w:t>
      </w:r>
      <w:r>
        <w:rPr>
          <w:rFonts w:ascii="Calibri" w:hAnsi="Calibri"/>
          <w:b w:val="0"/>
          <w:i w:val="0"/>
          <w:color w:val="1B2A32"/>
          <w:sz w:val="21"/>
        </w:rPr>
        <w:t xml:space="preserve"> governing Indian matrimonial disputes across all personal-law regimes; and it specifies the </w:t>
      </w:r>
      <w:r>
        <w:rPr>
          <w:rFonts w:ascii="Calibri" w:hAnsi="Calibri"/>
          <w:b/>
          <w:i w:val="0"/>
          <w:color w:val="1B2A32"/>
          <w:sz w:val="21"/>
        </w:rPr>
        <w:t>platform, forms and operating procedure</w:t>
      </w:r>
      <w:r>
        <w:rPr>
          <w:rFonts w:ascii="Calibri" w:hAnsi="Calibri"/>
          <w:b w:val="0"/>
          <w:i w:val="0"/>
          <w:color w:val="1B2A32"/>
          <w:sz w:val="21"/>
        </w:rPr>
        <w:t xml:space="preserve"> the product and operations teams will implement.</w:t>
      </w:r>
    </w:p>
    <w:p>
      <w:pPr>
        <w:spacing w:after="140"/>
        <w:jc w:val="both"/>
      </w:pPr>
      <w:r>
        <w:rPr>
          <w:rFonts w:ascii="Calibri" w:hAnsi="Calibri"/>
          <w:b w:val="0"/>
          <w:i w:val="0"/>
          <w:color w:val="1B2A32"/>
          <w:sz w:val="21"/>
        </w:rPr>
        <w:t xml:space="preserve">The legal content is presented in a </w:t>
      </w:r>
      <w:r>
        <w:rPr>
          <w:rFonts w:ascii="Calibri" w:hAnsi="Calibri"/>
          <w:b/>
          <w:i w:val="0"/>
          <w:color w:val="1B2A32"/>
          <w:sz w:val="21"/>
        </w:rPr>
        <w:t>layered</w:t>
      </w:r>
      <w:r>
        <w:rPr>
          <w:rFonts w:ascii="Calibri" w:hAnsi="Calibri"/>
          <w:b w:val="0"/>
          <w:i w:val="0"/>
          <w:color w:val="1B2A32"/>
          <w:sz w:val="21"/>
        </w:rPr>
        <w:t xml:space="preserve"> style. Each substantive area opens with a plain-language “Practical Summary” for non-lawyers, followed by a deeper analysis, with the governing statute and leading case law flagged in “Legal Basis” boxes and consolidated in Annexure A. The law stated reflects the position as of July 2026, including the Bharatiya Nyaya Sanhita, 2023 (BNS) and Bharatiya Nagarik Suraksha Sanhita, 2023 (BNSS) which replaced the Indian Penal Code and the Code of Criminal Procedure with effect from 1 July 2024, and the Digital Personal Data Protection Rules, 2025.</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This document is not a substitute for case-specific legal advice. Equator Resolution operates as a neutral </w:t>
            </w:r>
            <w:r>
              <w:rPr>
                <w:rFonts w:ascii="Calibri" w:hAnsi="Calibri"/>
                <w:b/>
                <w:i w:val="0"/>
                <w:color w:val="1B2A32"/>
                <w:sz w:val="20"/>
              </w:rPr>
              <w:t>mediation service provider</w:t>
            </w:r>
            <w:r>
              <w:rPr>
                <w:rFonts w:ascii="Calibri" w:hAnsi="Calibri"/>
                <w:b w:val="0"/>
                <w:i w:val="0"/>
                <w:color w:val="1B2A32"/>
                <w:sz w:val="20"/>
              </w:rPr>
              <w:t>; it does not represent either spouse, does not practise law, and does not adjudicate. Every mediated settlement that touches the status of marriage, custody of a child, or the quashing of a criminal case must be placed before, and take effect through, the competent court. Nothing here should be read as advising any person to enter or remain in an unsafe situation.</w:t>
            </w:r>
          </w:p>
        </w:tc>
      </w:tr>
    </w:tbl>
    <w:p>
      <w:pPr>
        <w:spacing w:after="120"/>
      </w:pPr>
    </w:p>
    <w:p>
      <w:pPr>
        <w:keepNext/>
        <w:spacing w:before="220" w:after="80"/>
      </w:pPr>
      <w:r>
        <w:rPr>
          <w:rFonts w:ascii="Calibri" w:hAnsi="Calibri"/>
          <w:b/>
          <w:i w:val="0"/>
          <w:color w:val="1E7A8C"/>
          <w:sz w:val="26"/>
        </w:rPr>
        <w:t>Document control &amp; approval</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Item</w:t>
            </w:r>
          </w:p>
        </w:tc>
        <w:tc>
          <w:tcPr>
            <w:tcW w:type="dxa" w:w="7223"/>
            <w:shd w:val="clear" w:color="auto" w:fill="123B4F"/>
            <w:tcMar>
              <w:top w:w="60" w:type="dxa"/>
              <w:bottom w:w="60" w:type="dxa"/>
              <w:start w:w="110" w:type="dxa"/>
              <w:end w:w="110" w:type="dxa"/>
            </w:tcMar>
          </w:tcPr>
          <w:p>
            <w:pPr>
              <w:spacing w:after="0"/>
            </w:pPr>
            <w:r>
              <w:rPr>
                <w:rFonts w:ascii="Calibri" w:hAnsi="Calibri"/>
                <w:b/>
                <w:i w:val="0"/>
                <w:color w:val="FFFFFF"/>
                <w:sz w:val="19"/>
              </w:rPr>
              <w:t>Detail</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Version</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1.0  (July 2026)</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Owner</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Equator Resolution — Marital &amp; Family vertical</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Prepared by</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Equator Resolution advisory team</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Legal review</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  ] Family-law counsel   ·   [  ] Data-protection counsel   (complete before go-live)</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Approved by</w:t>
            </w:r>
          </w:p>
        </w:tc>
        <w:tc>
          <w:tcPr>
            <w:tcW w:type="dxa" w:w="7223"/>
            <w:tcMar>
              <w:top w:w="60" w:type="dxa"/>
              <w:bottom w:w="60" w:type="dxa"/>
              <w:start w:w="110" w:type="dxa"/>
              <w:end w:w="110" w:type="dxa"/>
            </w:tcMar>
          </w:tcPr>
          <w:p>
            <w:pPr>
              <w:spacing w:after="0"/>
              <w:jc w:val="left"/>
            </w:pPr>
            <w:r>
              <w:rPr>
                <w:rFonts w:ascii="Calibri" w:hAnsi="Calibri"/>
                <w:b w:val="0"/>
                <w:i w:val="0"/>
                <w:color w:val="1B2A32"/>
                <w:sz w:val="19"/>
              </w:rPr>
              <w:t>______________________  (Director)      Date: ____________</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Next review</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On constitution of the Mediation Council of India, or on amendment of any cited law</w:t>
            </w:r>
          </w:p>
        </w:tc>
      </w:tr>
    </w:tbl>
    <w:p>
      <w:pPr>
        <w:spacing w:after="8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Law stated as of July 2026 (BNS/BNSS in force from 1 July 2024; DPDP Rules 2025). Section numbers and case citations should be pinpoint-verified against the official reports, and checked for later developments, before any court filing.</w:t>
            </w:r>
          </w:p>
        </w:tc>
      </w:tr>
    </w:tbl>
    <w:p>
      <w:pPr>
        <w:spacing w:after="120"/>
      </w:pPr>
    </w:p>
    <w:p>
      <w:pPr>
        <w:keepNext/>
        <w:spacing w:before="320" w:after="140"/>
        <w:pBdr>
          <w:bottom w:val="single" w:sz="12" w:space="3" w:color="C6A15B"/>
        </w:pBdr>
      </w:pPr>
      <w:r>
        <w:rPr>
          <w:rFonts w:ascii="Calibri" w:hAnsi="Calibri"/>
          <w:b/>
          <w:i w:val="0"/>
          <w:color w:val="123B4F"/>
          <w:sz w:val="34"/>
        </w:rPr>
        <w:t>Table of Contents</w:t>
      </w:r>
    </w:p>
    <w:p>
      <w:pPr>
        <w:spacing w:after="140"/>
        <w:jc w:val="both"/>
      </w:pPr>
      <w:r>
        <w:rPr>
          <w:rFonts w:ascii="Calibri" w:hAnsi="Calibri"/>
          <w:b w:val="0"/>
          <w:i w:val="0"/>
          <w:color w:val="1B2A32"/>
          <w:sz w:val="19"/>
        </w:rPr>
        <w:t>This document uses Word heading styles. Open in Microsoft Word and choose “Update Field” on the entry below to generate a clickable, page-numbered contents list.</w:t>
      </w:r>
    </w:p>
    <w:p>
      <w:r>
        <w:fldChar w:fldCharType="begin"/>
      </w:r>
      <w:r>
        <w:instrText xml:space="preserve">TOC \o "1-3" \h \z \u</w:instrText>
      </w:r>
      <w:r>
        <w:fldChar w:fldCharType="separate"/>
      </w:r>
      <w:r>
        <w:rPr>
          <w:rFonts w:ascii="Calibri" w:hAnsi="Calibri"/>
          <w:b w:val="0"/>
          <w:i/>
          <w:color w:val="556168"/>
          <w:sz w:val="19"/>
        </w:rPr>
        <w:t>Right-click and choose “Update Field” to build the Table of Contents.</w:t>
      </w:r>
      <w:r>
        <w:fldChar w:fldCharType="end"/>
      </w:r>
    </w:p>
    <w:p>
      <w:r>
        <w:br w:type="page"/>
      </w:r>
    </w:p>
    <w:p>
      <w:pPr>
        <w:spacing w:before="600" w:after="40"/>
      </w:pPr>
      <w:r>
        <w:rPr>
          <w:rFonts w:ascii="Calibri" w:hAnsi="Calibri"/>
          <w:b/>
          <w:i w:val="0"/>
          <w:color w:val="C6A15B"/>
          <w:sz w:val="26"/>
        </w:rPr>
        <w:t>PART A</w:t>
      </w:r>
    </w:p>
    <w:p>
      <w:pPr>
        <w:spacing w:after="200"/>
        <w:pBdr>
          <w:bottom w:val="single" w:sz="18" w:space="3" w:color="1E7A8C"/>
        </w:pBdr>
      </w:pPr>
      <w:r>
        <w:rPr>
          <w:rFonts w:ascii="Calibri" w:hAnsi="Calibri"/>
          <w:b/>
          <w:i w:val="0"/>
          <w:color w:val="123B4F"/>
          <w:sz w:val="46"/>
        </w:rPr>
        <w:t>Strategic Overview</w:t>
      </w:r>
    </w:p>
    <w:p>
      <w:pPr>
        <w:keepNext/>
        <w:spacing w:before="320" w:after="140"/>
        <w:pBdr>
          <w:bottom w:val="single" w:sz="12" w:space="3" w:color="C6A15B"/>
        </w:pBdr>
      </w:pPr>
      <w:r>
        <w:rPr>
          <w:rFonts w:ascii="Calibri" w:hAnsi="Calibri"/>
          <w:b/>
          <w:i w:val="0"/>
          <w:color w:val="123B4F"/>
          <w:sz w:val="34"/>
        </w:rPr>
        <w:t>1.  Executive Summary</w:t>
      </w:r>
    </w:p>
    <w:p>
      <w:pPr>
        <w:spacing w:after="160"/>
        <w:jc w:val="both"/>
      </w:pPr>
      <w:r>
        <w:rPr>
          <w:rFonts w:ascii="Calibri" w:hAnsi="Calibri"/>
          <w:b w:val="0"/>
          <w:i/>
          <w:color w:val="1E7A8C"/>
          <w:sz w:val="23"/>
        </w:rPr>
        <w:t>Equator Resolution brings India's newest and most under-served dispute category — the breakdown of a marriage — into a structured, confidential, technology-enabled mediation process that finishes in months, not years.</w:t>
      </w:r>
    </w:p>
    <w:p>
      <w:pPr>
        <w:spacing w:after="140"/>
        <w:jc w:val="both"/>
      </w:pPr>
      <w:r>
        <w:rPr>
          <w:rFonts w:ascii="Calibri" w:hAnsi="Calibri"/>
          <w:b w:val="0"/>
          <w:i w:val="0"/>
          <w:color w:val="1B2A32"/>
          <w:sz w:val="21"/>
        </w:rPr>
        <w:t xml:space="preserve">Marital breakdown in India is resolved today through an adversarial court system that is slow, public, expensive and emotionally corrosive. A contested divorce, layered with cross-cases for maintenance, custody, domestic violence and dowry cruelty, routinely consumes five to ten years across multiple forums. The human cost is borne disproportionately by women and children, and the systemic cost feeds directly into the backlog of over five crore cases pending before Indian courts. The Mediation Act, 2023 changed the landscape: for the first time, a privately mediated settlement can be registered and enforced </w:t>
      </w:r>
      <w:r>
        <w:rPr>
          <w:rFonts w:ascii="Calibri" w:hAnsi="Calibri"/>
          <w:b/>
          <w:i w:val="0"/>
          <w:color w:val="1B2A32"/>
          <w:sz w:val="21"/>
        </w:rPr>
        <w:t>as if it were a decree of a court</w:t>
      </w:r>
      <w:r>
        <w:rPr>
          <w:rFonts w:ascii="Calibri" w:hAnsi="Calibri"/>
          <w:b w:val="0"/>
          <w:i w:val="0"/>
          <w:color w:val="1B2A32"/>
          <w:sz w:val="21"/>
        </w:rPr>
        <w:t>, and the statute expressly contemplates the reference of matrimonial matters to mediation.</w:t>
      </w:r>
    </w:p>
    <w:p>
      <w:pPr>
        <w:spacing w:after="140"/>
        <w:jc w:val="both"/>
      </w:pPr>
      <w:r>
        <w:rPr>
          <w:rFonts w:ascii="Calibri" w:hAnsi="Calibri"/>
          <w:b w:val="0"/>
          <w:i w:val="0"/>
          <w:color w:val="1B2A32"/>
          <w:sz w:val="21"/>
        </w:rPr>
        <w:t xml:space="preserve">Equator Resolution's Family vertical is purpose-built for that opening. Either spouse — husband or wife — can initiate a case online; the other is formally invited to respond; the parties select or are matched to an empanelled, conflict-checked mediator; and a trained case manager shepherds the matter through a </w:t>
      </w:r>
      <w:r>
        <w:rPr>
          <w:rFonts w:ascii="Calibri" w:hAnsi="Calibri"/>
          <w:b/>
          <w:i w:val="0"/>
          <w:color w:val="1B2A32"/>
          <w:sz w:val="21"/>
        </w:rPr>
        <w:t>time-bound</w:t>
      </w:r>
      <w:r>
        <w:rPr>
          <w:rFonts w:ascii="Calibri" w:hAnsi="Calibri"/>
          <w:b w:val="0"/>
          <w:i w:val="0"/>
          <w:color w:val="1B2A32"/>
          <w:sz w:val="21"/>
        </w:rPr>
        <w:t xml:space="preserve"> proceeding capped at 180 days. Where money changes hands, an </w:t>
      </w:r>
      <w:r>
        <w:rPr>
          <w:rFonts w:ascii="Calibri" w:hAnsi="Calibri"/>
          <w:b/>
          <w:i w:val="0"/>
          <w:color w:val="1B2A32"/>
          <w:sz w:val="21"/>
        </w:rPr>
        <w:t>escrow mechanism</w:t>
      </w:r>
      <w:r>
        <w:rPr>
          <w:rFonts w:ascii="Calibri" w:hAnsi="Calibri"/>
          <w:b w:val="0"/>
          <w:i w:val="0"/>
          <w:color w:val="1B2A32"/>
          <w:sz w:val="21"/>
        </w:rPr>
        <w:t xml:space="preserve"> secures the settlement so that neither party has to trust the other's promise. Where the parties have filed criminal complaints against each other, the settlement is engineered to carry those complaints to lawful </w:t>
      </w:r>
      <w:r>
        <w:rPr>
          <w:rFonts w:ascii="Calibri" w:hAnsi="Calibri"/>
          <w:b/>
          <w:i w:val="0"/>
          <w:color w:val="1B2A32"/>
          <w:sz w:val="21"/>
        </w:rPr>
        <w:t>withdrawal, compounding or quashing</w:t>
      </w:r>
      <w:r>
        <w:rPr>
          <w:rFonts w:ascii="Calibri" w:hAnsi="Calibri"/>
          <w:b w:val="0"/>
          <w:i w:val="0"/>
          <w:color w:val="1B2A32"/>
          <w:sz w:val="21"/>
        </w:rPr>
        <w:t>. Throughout, personal data is handled to the standard demanded by the Digital Personal Data Protection Act, 2023.</w:t>
      </w:r>
    </w:p>
    <w:p>
      <w:pPr>
        <w:spacing w:after="140"/>
        <w:jc w:val="both"/>
      </w:pPr>
      <w:r>
        <w:rPr>
          <w:rFonts w:ascii="Calibri" w:hAnsi="Calibri"/>
          <w:b w:val="0"/>
          <w:i w:val="0"/>
          <w:color w:val="1B2A32"/>
          <w:sz w:val="21"/>
        </w:rPr>
        <w:t>This Blueprint specifies the whole system: the dispute taxonomy and dropdown architecture the website will expose; the onboarding, forms and consents; the end-to-end workflow with its branch logic and permutations; the mediator-selection and case-management model; the settlement, escrow and criminal-closure tracks; and the compliance spine that keeps all of it inside the Mediation Act, the personal laws, and the data-protection regime.</w:t>
      </w:r>
    </w:p>
    <w:p>
      <w:pPr>
        <w:keepNext/>
        <w:spacing w:before="220" w:after="80"/>
      </w:pPr>
      <w:r>
        <w:rPr>
          <w:rFonts w:ascii="Calibri" w:hAnsi="Calibri"/>
          <w:b/>
          <w:i w:val="0"/>
          <w:color w:val="1E7A8C"/>
          <w:sz w:val="26"/>
        </w:rPr>
        <w:t>1.1   What Equator Resolution offers the parties</w:t>
      </w:r>
    </w:p>
    <w:p>
      <w:pPr>
        <w:pStyle w:val="ListBullet"/>
        <w:spacing w:after="60"/>
        <w:jc w:val="both"/>
      </w:pPr>
      <w:r>
        <w:rPr>
          <w:rFonts w:ascii="Calibri" w:hAnsi="Calibri"/>
          <w:b/>
          <w:i w:val="0"/>
          <w:color w:val="123B4F"/>
          <w:sz w:val="21"/>
        </w:rPr>
        <w:t xml:space="preserve">Speed: </w:t>
      </w:r>
      <w:r>
        <w:rPr>
          <w:rFonts w:ascii="Calibri" w:hAnsi="Calibri"/>
          <w:b w:val="0"/>
          <w:i w:val="0"/>
          <w:color w:val="1B2A32"/>
          <w:sz w:val="21"/>
        </w:rPr>
        <w:t>a statutory clock — mediation completed within 120 days of the first session, extendable once by 60 days.</w:t>
      </w:r>
    </w:p>
    <w:p>
      <w:pPr>
        <w:pStyle w:val="ListBullet"/>
        <w:spacing w:after="60"/>
        <w:jc w:val="both"/>
      </w:pPr>
      <w:r>
        <w:rPr>
          <w:rFonts w:ascii="Calibri" w:hAnsi="Calibri"/>
          <w:b/>
          <w:i w:val="0"/>
          <w:color w:val="123B4F"/>
          <w:sz w:val="21"/>
        </w:rPr>
        <w:t xml:space="preserve">Privacy: </w:t>
      </w:r>
      <w:r>
        <w:rPr>
          <w:rFonts w:ascii="Calibri" w:hAnsi="Calibri"/>
          <w:b w:val="0"/>
          <w:i w:val="0"/>
          <w:color w:val="1B2A32"/>
          <w:sz w:val="21"/>
        </w:rPr>
        <w:t>proceedings are confidential and off the public record, unlike open-court litigation.</w:t>
      </w:r>
    </w:p>
    <w:p>
      <w:pPr>
        <w:pStyle w:val="ListBullet"/>
        <w:spacing w:after="60"/>
        <w:jc w:val="both"/>
      </w:pPr>
      <w:r>
        <w:rPr>
          <w:rFonts w:ascii="Calibri" w:hAnsi="Calibri"/>
          <w:b/>
          <w:i w:val="0"/>
          <w:color w:val="123B4F"/>
          <w:sz w:val="21"/>
        </w:rPr>
        <w:t xml:space="preserve">Control: </w:t>
      </w:r>
      <w:r>
        <w:rPr>
          <w:rFonts w:ascii="Calibri" w:hAnsi="Calibri"/>
          <w:b w:val="0"/>
          <w:i w:val="0"/>
          <w:color w:val="1B2A32"/>
          <w:sz w:val="21"/>
        </w:rPr>
        <w:t>the parties design their own settlement rather than having one imposed by a judge.</w:t>
      </w:r>
    </w:p>
    <w:p>
      <w:pPr>
        <w:pStyle w:val="ListBullet"/>
        <w:spacing w:after="60"/>
        <w:jc w:val="both"/>
      </w:pPr>
      <w:r>
        <w:rPr>
          <w:rFonts w:ascii="Calibri" w:hAnsi="Calibri"/>
          <w:b/>
          <w:i w:val="0"/>
          <w:color w:val="123B4F"/>
          <w:sz w:val="21"/>
        </w:rPr>
        <w:t xml:space="preserve">Finality &amp; enforceability: </w:t>
      </w:r>
      <w:r>
        <w:rPr>
          <w:rFonts w:ascii="Calibri" w:hAnsi="Calibri"/>
          <w:b w:val="0"/>
          <w:i w:val="0"/>
          <w:color w:val="1B2A32"/>
          <w:sz w:val="21"/>
        </w:rPr>
        <w:t>a registered Mediated Settlement Agreement is binding and enforceable as a court decree (s.27, Mediation Act).</w:t>
      </w:r>
    </w:p>
    <w:p>
      <w:pPr>
        <w:pStyle w:val="ListBullet"/>
        <w:spacing w:after="60"/>
        <w:jc w:val="both"/>
      </w:pPr>
      <w:r>
        <w:rPr>
          <w:rFonts w:ascii="Calibri" w:hAnsi="Calibri"/>
          <w:b/>
          <w:i w:val="0"/>
          <w:color w:val="123B4F"/>
          <w:sz w:val="21"/>
        </w:rPr>
        <w:t xml:space="preserve">Security of money: </w:t>
      </w:r>
      <w:r>
        <w:rPr>
          <w:rFonts w:ascii="Calibri" w:hAnsi="Calibri"/>
          <w:b w:val="0"/>
          <w:i w:val="0"/>
          <w:color w:val="1B2A32"/>
          <w:sz w:val="21"/>
        </w:rPr>
        <w:t>escrow ensures alimony, one-time settlement and streedhan pass safely between the parties.</w:t>
      </w:r>
    </w:p>
    <w:p>
      <w:pPr>
        <w:pStyle w:val="ListBullet"/>
        <w:spacing w:after="60"/>
        <w:jc w:val="both"/>
      </w:pPr>
      <w:r>
        <w:rPr>
          <w:rFonts w:ascii="Calibri" w:hAnsi="Calibri"/>
          <w:b/>
          <w:i w:val="0"/>
          <w:color w:val="123B4F"/>
          <w:sz w:val="21"/>
        </w:rPr>
        <w:t xml:space="preserve">A route out of criminal cross-fire: </w:t>
      </w:r>
      <w:r>
        <w:rPr>
          <w:rFonts w:ascii="Calibri" w:hAnsi="Calibri"/>
          <w:b w:val="0"/>
          <w:i w:val="0"/>
          <w:color w:val="1B2A32"/>
          <w:sz w:val="21"/>
        </w:rPr>
        <w:t>integrated handling of FIR withdrawal, compounding and quashing on settlement.</w:t>
      </w:r>
    </w:p>
    <w:p>
      <w:pPr>
        <w:spacing w:after="40"/>
      </w:pPr>
    </w:p>
    <w:p>
      <w:pPr>
        <w:keepNext/>
        <w:spacing w:before="320" w:after="140"/>
        <w:pBdr>
          <w:bottom w:val="single" w:sz="12" w:space="3" w:color="C6A15B"/>
        </w:pBdr>
      </w:pPr>
      <w:r>
        <w:rPr>
          <w:rFonts w:ascii="Calibri" w:hAnsi="Calibri"/>
          <w:b/>
          <w:i w:val="0"/>
          <w:color w:val="123B4F"/>
          <w:sz w:val="34"/>
        </w:rPr>
        <w:t>2.  The Opportunity</w:t>
      </w:r>
    </w:p>
    <w:p>
      <w:pPr>
        <w:keepNext/>
        <w:spacing w:before="220" w:after="80"/>
      </w:pPr>
      <w:r>
        <w:rPr>
          <w:rFonts w:ascii="Calibri" w:hAnsi="Calibri"/>
          <w:b/>
          <w:i w:val="0"/>
          <w:color w:val="1E7A8C"/>
          <w:sz w:val="26"/>
        </w:rPr>
        <w:t>2.1   A structural mismatch between demand and the courts</w:t>
      </w:r>
    </w:p>
    <w:p>
      <w:pPr>
        <w:spacing w:after="140"/>
        <w:jc w:val="both"/>
      </w:pPr>
      <w:r>
        <w:rPr>
          <w:rFonts w:ascii="Calibri" w:hAnsi="Calibri"/>
          <w:b w:val="0"/>
          <w:i w:val="0"/>
          <w:color w:val="1B2A32"/>
          <w:sz w:val="21"/>
        </w:rPr>
        <w:t xml:space="preserve">India records a very large volume of matrimonial litigation each year across family courts, magistrates' courts (for maintenance and domestic violence), and criminal courts (for cruelty and dowry offences). The same marital breakdown typically spawns </w:t>
      </w:r>
      <w:r>
        <w:rPr>
          <w:rFonts w:ascii="Calibri" w:hAnsi="Calibri"/>
          <w:b/>
          <w:i w:val="0"/>
          <w:color w:val="1B2A32"/>
          <w:sz w:val="21"/>
        </w:rPr>
        <w:t>parallel proceedings</w:t>
      </w:r>
      <w:r>
        <w:rPr>
          <w:rFonts w:ascii="Calibri" w:hAnsi="Calibri"/>
          <w:b w:val="0"/>
          <w:i w:val="0"/>
          <w:color w:val="1B2A32"/>
          <w:sz w:val="21"/>
        </w:rPr>
        <w:t xml:space="preserve"> in several of these forums simultaneously — a divorce petition, a maintenance application, a domestic-violence complaint, a Section 85 BNS (formerly 498A IPC) criminal case, and custody or guardianship proceedings. Each runs on its own timeline, before its own forum, generating years of delay, duplicated evidence and escalating hostility. Mediation is uniquely suited to this category precisely because it can resolve the </w:t>
      </w:r>
      <w:r>
        <w:rPr>
          <w:rFonts w:ascii="Calibri" w:hAnsi="Calibri"/>
          <w:b/>
          <w:i w:val="0"/>
          <w:color w:val="1B2A32"/>
          <w:sz w:val="21"/>
        </w:rPr>
        <w:t>entire cluster in one place, once</w:t>
      </w:r>
      <w:r>
        <w:rPr>
          <w:rFonts w:ascii="Calibri" w:hAnsi="Calibri"/>
          <w:b w:val="0"/>
          <w:i w:val="0"/>
          <w:color w:val="1B2A32"/>
          <w:sz w:val="21"/>
        </w:rPr>
        <w:t>.</w:t>
      </w:r>
    </w:p>
    <w:p>
      <w:pPr>
        <w:keepNext/>
        <w:spacing w:before="220" w:after="80"/>
      </w:pPr>
      <w:r>
        <w:rPr>
          <w:rFonts w:ascii="Calibri" w:hAnsi="Calibri"/>
          <w:b/>
          <w:i w:val="0"/>
          <w:color w:val="1E7A8C"/>
          <w:sz w:val="26"/>
        </w:rPr>
        <w:t>2.2   The regulatory catalyst — the Mediation Act, 2023</w:t>
      </w:r>
    </w:p>
    <w:p>
      <w:pPr>
        <w:spacing w:after="140"/>
        <w:jc w:val="both"/>
      </w:pPr>
      <w:r>
        <w:rPr>
          <w:rFonts w:ascii="Calibri" w:hAnsi="Calibri"/>
          <w:b w:val="0"/>
          <w:i w:val="0"/>
          <w:color w:val="1B2A32"/>
          <w:sz w:val="21"/>
        </w:rPr>
        <w:t xml:space="preserve">The Mediation Act, 2023 (Act No. 32 of 2023) received Presidential assent in September 2023 and, for the first time in Indian history, gives mediation a comprehensive statutory footing. Three features make it decisive for a family-focused platform: mediated settlement agreements are </w:t>
      </w:r>
      <w:r>
        <w:rPr>
          <w:rFonts w:ascii="Calibri" w:hAnsi="Calibri"/>
          <w:b/>
          <w:i w:val="0"/>
          <w:color w:val="1B2A32"/>
          <w:sz w:val="21"/>
        </w:rPr>
        <w:t>final, binding and enforceable as court decrees</w:t>
      </w:r>
      <w:r>
        <w:rPr>
          <w:rFonts w:ascii="Calibri" w:hAnsi="Calibri"/>
          <w:b w:val="0"/>
          <w:i w:val="0"/>
          <w:color w:val="1B2A32"/>
          <w:sz w:val="21"/>
        </w:rPr>
        <w:t xml:space="preserve">; the Act establishes the </w:t>
      </w:r>
      <w:r>
        <w:rPr>
          <w:rFonts w:ascii="Calibri" w:hAnsi="Calibri"/>
          <w:b/>
          <w:i w:val="0"/>
          <w:color w:val="1B2A32"/>
          <w:sz w:val="21"/>
        </w:rPr>
        <w:t>Mediation Council of India</w:t>
      </w:r>
      <w:r>
        <w:rPr>
          <w:rFonts w:ascii="Calibri" w:hAnsi="Calibri"/>
          <w:b w:val="0"/>
          <w:i w:val="0"/>
          <w:color w:val="1B2A32"/>
          <w:sz w:val="21"/>
        </w:rPr>
        <w:t xml:space="preserve"> to register mediators and recognise and grade </w:t>
      </w:r>
      <w:r>
        <w:rPr>
          <w:rFonts w:ascii="Calibri" w:hAnsi="Calibri"/>
          <w:b/>
          <w:i w:val="0"/>
          <w:color w:val="1B2A32"/>
          <w:sz w:val="21"/>
        </w:rPr>
        <w:t>mediation service providers</w:t>
      </w:r>
      <w:r>
        <w:rPr>
          <w:rFonts w:ascii="Calibri" w:hAnsi="Calibri"/>
          <w:b w:val="0"/>
          <w:i w:val="0"/>
          <w:color w:val="1B2A32"/>
          <w:sz w:val="21"/>
        </w:rPr>
        <w:t xml:space="preserve"> such as Equator Resolution; and the Act builds in a </w:t>
      </w:r>
      <w:r>
        <w:rPr>
          <w:rFonts w:ascii="Calibri" w:hAnsi="Calibri"/>
          <w:b/>
          <w:i w:val="0"/>
          <w:color w:val="1B2A32"/>
          <w:sz w:val="21"/>
        </w:rPr>
        <w:t>time discipline</w:t>
      </w:r>
      <w:r>
        <w:rPr>
          <w:rFonts w:ascii="Calibri" w:hAnsi="Calibri"/>
          <w:b w:val="0"/>
          <w:i w:val="0"/>
          <w:color w:val="1B2A32"/>
          <w:sz w:val="21"/>
        </w:rPr>
        <w:t xml:space="preserve"> that litigation has never had. The Family Courts Act, 1984 already casts a duty on family courts to attempt settlement and reconciliation before adjudication, so the courts are natural referral partners for an institutional mediation provider.</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Equator Resolution should position itself from day one as a </w:t>
            </w:r>
            <w:r>
              <w:rPr>
                <w:rFonts w:ascii="Calibri" w:hAnsi="Calibri"/>
                <w:b/>
                <w:i w:val="0"/>
                <w:color w:val="1B2A32"/>
                <w:sz w:val="20"/>
              </w:rPr>
              <w:t>Mediation Service Provider (MSP)</w:t>
            </w:r>
            <w:r>
              <w:rPr>
                <w:rFonts w:ascii="Calibri" w:hAnsi="Calibri"/>
                <w:b w:val="0"/>
                <w:i w:val="0"/>
                <w:color w:val="1B2A32"/>
                <w:sz w:val="20"/>
              </w:rPr>
              <w:t xml:space="preserve"> ready for recognition and grading by the Mediation Council of India once the Council is fully constituted, and should maintain its panel, rules, case records and MSA repository to that standard in the interim.</w:t>
            </w:r>
          </w:p>
        </w:tc>
      </w:tr>
    </w:tbl>
    <w:p>
      <w:pPr>
        <w:spacing w:after="120"/>
      </w:pPr>
    </w:p>
    <w:p>
      <w:pPr>
        <w:keepNext/>
        <w:spacing w:before="220" w:after="80"/>
      </w:pPr>
      <w:r>
        <w:rPr>
          <w:rFonts w:ascii="Calibri" w:hAnsi="Calibri"/>
          <w:b/>
          <w:i w:val="0"/>
          <w:color w:val="1E7A8C"/>
          <w:sz w:val="26"/>
        </w:rPr>
        <w:t>2.3   Why the Family vertical, and why now</w:t>
      </w:r>
    </w:p>
    <w:p>
      <w:pPr>
        <w:spacing w:after="140"/>
        <w:jc w:val="both"/>
      </w:pPr>
      <w:r>
        <w:rPr>
          <w:rFonts w:ascii="Calibri" w:hAnsi="Calibri"/>
          <w:b w:val="0"/>
          <w:i w:val="0"/>
          <w:color w:val="1B2A32"/>
          <w:sz w:val="21"/>
        </w:rPr>
        <w:t>Of Equator Resolution's three verticals — Financial &amp; Loan, Workplace &amp; HR, and Marital &amp; Family — the family category has the deepest emotional pull toward a private, dignified alternative to court, the clearest statutory encouragement (family courts must attempt conciliation), and the strongest word-of-mouth dynamics. It is also the category where Equator's differentiators — empathy plus speed, escrow-secured settlements, and integrated criminal-case closure — are most valuable to the parties and hardest for a generalist competitor to replicate.</w:t>
      </w:r>
    </w:p>
    <w:p>
      <w:pPr>
        <w:keepNext/>
        <w:spacing w:before="220" w:after="80"/>
      </w:pPr>
      <w:r>
        <w:rPr>
          <w:rFonts w:ascii="Calibri" w:hAnsi="Calibri"/>
          <w:b/>
          <w:i w:val="0"/>
          <w:color w:val="1E7A8C"/>
          <w:sz w:val="26"/>
        </w:rPr>
        <w:t>2.4   Family-vertical competitive positioning</w:t>
      </w:r>
    </w:p>
    <w:p>
      <w:pPr>
        <w:spacing w:after="140"/>
        <w:jc w:val="both"/>
      </w:pPr>
      <w:r>
        <w:rPr>
          <w:rFonts w:ascii="Calibri" w:hAnsi="Calibri"/>
          <w:b w:val="0"/>
          <w:i w:val="0"/>
          <w:color w:val="1B2A32"/>
          <w:sz w:val="21"/>
        </w:rPr>
        <w:t xml:space="preserve">India's ODR field includes platforms such as SAMA, Presolv360 and CADRE, which have focused chiefly on high-volume commercial and lending disputes. The family category is comparatively under-served by technology-first institutions. Equator's edge here is a combination competitors do not offer together: an empathy-led, family-specialised process; coverage of every personal-law regime; escrow-secured settlements; and an integrated route to closing the criminal cross-cases that so often accompany matrimonial disputes. The strategy is to </w:t>
      </w:r>
      <w:r>
        <w:rPr>
          <w:rFonts w:ascii="Calibri" w:hAnsi="Calibri"/>
          <w:b/>
          <w:i w:val="0"/>
          <w:color w:val="1B2A32"/>
          <w:sz w:val="21"/>
        </w:rPr>
        <w:t>own 'family mediation' as a category</w:t>
      </w:r>
      <w:r>
        <w:rPr>
          <w:rFonts w:ascii="Calibri" w:hAnsi="Calibri"/>
          <w:b w:val="0"/>
          <w:i w:val="0"/>
          <w:color w:val="1B2A32"/>
          <w:sz w:val="21"/>
        </w:rPr>
        <w:t>, not to out-volume commercial ODR players.</w:t>
      </w:r>
    </w:p>
    <w:p>
      <w:pPr>
        <w:keepNext/>
        <w:spacing w:before="220" w:after="80"/>
      </w:pPr>
      <w:r>
        <w:rPr>
          <w:rFonts w:ascii="Calibri" w:hAnsi="Calibri"/>
          <w:b/>
          <w:i w:val="0"/>
          <w:color w:val="1E7A8C"/>
          <w:sz w:val="26"/>
        </w:rPr>
        <w:t>2.5   The cost-and-time case versus litigation</w:t>
      </w:r>
    </w:p>
    <w:p>
      <w:pPr>
        <w:spacing w:after="140"/>
        <w:jc w:val="both"/>
      </w:pPr>
      <w:r>
        <w:rPr>
          <w:rFonts w:ascii="Calibri" w:hAnsi="Calibri"/>
          <w:b w:val="0"/>
          <w:i w:val="0"/>
          <w:color w:val="1B2A32"/>
          <w:sz w:val="21"/>
        </w:rPr>
        <w:t>The most persuasive argument to a couple is time and money. A contested matrimonial matter — with its parallel maintenance, custody and criminal proceedings — commonly runs five to ten years; a mediated settlement at Equator targets completion within the statutory 180-day envelope, at a fraction of the cumulative cost and with none of the public exposure. The figure below contrasts the two paths.</w:t>
      </w:r>
    </w:p>
    <w:p>
      <w:pPr>
        <w:spacing w:before="80" w:after="40"/>
        <w:jc w:val="center"/>
      </w:pPr>
      <w:r>
        <w:drawing>
          <wp:inline xmlns:a="http://schemas.openxmlformats.org/drawingml/2006/main" xmlns:pic="http://schemas.openxmlformats.org/drawingml/2006/picture">
            <wp:extent cx="5852160" cy="2251948"/>
            <wp:docPr id="1" name="Picture 1"/>
            <wp:cNvGraphicFramePr>
              <a:graphicFrameLocks noChangeAspect="1"/>
            </wp:cNvGraphicFramePr>
            <a:graphic>
              <a:graphicData uri="http://schemas.openxmlformats.org/drawingml/2006/picture">
                <pic:pic>
                  <pic:nvPicPr>
                    <pic:cNvPr id="0" name="09_cost_vs_litigation.png"/>
                    <pic:cNvPicPr/>
                  </pic:nvPicPr>
                  <pic:blipFill>
                    <a:blip r:embed="rId9"/>
                    <a:stretch>
                      <a:fillRect/>
                    </a:stretch>
                  </pic:blipFill>
                  <pic:spPr>
                    <a:xfrm>
                      <a:off x="0" y="0"/>
                      <a:ext cx="5852160" cy="2251948"/>
                    </a:xfrm>
                    <a:prstGeom prst="rect"/>
                  </pic:spPr>
                </pic:pic>
              </a:graphicData>
            </a:graphic>
          </wp:inline>
        </w:drawing>
      </w:r>
    </w:p>
    <w:p>
      <w:pPr>
        <w:spacing w:before="20" w:after="200"/>
        <w:jc w:val="center"/>
      </w:pPr>
      <w:r>
        <w:rPr>
          <w:rFonts w:ascii="Calibri" w:hAnsi="Calibri"/>
          <w:b w:val="0"/>
          <w:i/>
          <w:color w:val="556168"/>
          <w:sz w:val="17"/>
        </w:rPr>
        <w:t>Figure 9 — Litigation versus Equator mediation: time, cost, privacy and control.</w:t>
      </w:r>
    </w:p>
    <w:p>
      <w:pPr>
        <w:keepNext/>
        <w:spacing w:before="320" w:after="140"/>
        <w:pBdr>
          <w:bottom w:val="single" w:sz="12" w:space="3" w:color="C6A15B"/>
        </w:pBdr>
      </w:pPr>
      <w:r>
        <w:rPr>
          <w:rFonts w:ascii="Calibri" w:hAnsi="Calibri"/>
          <w:b/>
          <w:i w:val="0"/>
          <w:color w:val="123B4F"/>
          <w:sz w:val="34"/>
        </w:rPr>
        <w:t>3.  Vision, Positioning &amp; Guiding Principles</w:t>
      </w:r>
    </w:p>
    <w:p>
      <w:pPr>
        <w:spacing w:after="140"/>
        <w:jc w:val="both"/>
      </w:pPr>
      <w:r>
        <w:rPr>
          <w:rFonts w:ascii="Calibri" w:hAnsi="Calibri"/>
          <w:b w:val="0"/>
          <w:i w:val="0"/>
          <w:color w:val="1B2A32"/>
          <w:sz w:val="21"/>
        </w:rPr>
        <w:t xml:space="preserve">The Family vertical inherits Equator Resolution's institutional brand promise — resolutions that are </w:t>
      </w:r>
      <w:r>
        <w:rPr>
          <w:rFonts w:ascii="Calibri" w:hAnsi="Calibri"/>
          <w:b/>
          <w:i w:val="0"/>
          <w:color w:val="1B2A32"/>
          <w:sz w:val="21"/>
        </w:rPr>
        <w:t>faster, fairer and more cost-effective than litigation</w:t>
      </w:r>
      <w:r>
        <w:rPr>
          <w:rFonts w:ascii="Calibri" w:hAnsi="Calibri"/>
          <w:b w:val="0"/>
          <w:i w:val="0"/>
          <w:color w:val="1B2A32"/>
          <w:sz w:val="21"/>
        </w:rPr>
        <w:t xml:space="preserve"> — and adds a promise specific to families: </w:t>
      </w:r>
      <w:r>
        <w:rPr>
          <w:rFonts w:ascii="Calibri" w:hAnsi="Calibri"/>
          <w:b/>
          <w:i w:val="0"/>
          <w:color w:val="1B2A32"/>
          <w:sz w:val="21"/>
        </w:rPr>
        <w:t>“Separation is hard. Going to court makes it harder. Equator mediates your family matters with confidentiality, dignity and care.”</w:t>
      </w:r>
      <w:r>
        <w:rPr>
          <w:rFonts w:ascii="Calibri" w:hAnsi="Calibri"/>
          <w:b w:val="0"/>
          <w:i w:val="0"/>
          <w:color w:val="1B2A32"/>
          <w:sz w:val="21"/>
        </w:rPr>
        <w:t xml:space="preserve"> The vertical is governed by a set of non-negotiable principles that shape every screen, form and script in this Blueprint.</w:t>
      </w:r>
    </w:p>
    <w:p>
      <w:pPr>
        <w:pStyle w:val="ListBullet"/>
        <w:spacing w:after="60"/>
        <w:jc w:val="both"/>
      </w:pPr>
      <w:r>
        <w:rPr>
          <w:rFonts w:ascii="Calibri" w:hAnsi="Calibri"/>
          <w:b/>
          <w:i w:val="0"/>
          <w:color w:val="123B4F"/>
          <w:sz w:val="21"/>
        </w:rPr>
        <w:t xml:space="preserve">Neutrality: </w:t>
      </w:r>
      <w:r>
        <w:rPr>
          <w:rFonts w:ascii="Calibri" w:hAnsi="Calibri"/>
          <w:b w:val="0"/>
          <w:i w:val="0"/>
          <w:color w:val="1B2A32"/>
          <w:sz w:val="21"/>
        </w:rPr>
        <w:t>Equator and its mediators never take sides, never advise one spouse against the other, and disclose any conflict.</w:t>
      </w:r>
    </w:p>
    <w:p>
      <w:pPr>
        <w:pStyle w:val="ListBullet"/>
        <w:spacing w:after="60"/>
        <w:jc w:val="both"/>
      </w:pPr>
      <w:r>
        <w:rPr>
          <w:rFonts w:ascii="Calibri" w:hAnsi="Calibri"/>
          <w:b/>
          <w:i w:val="0"/>
          <w:color w:val="123B4F"/>
          <w:sz w:val="21"/>
        </w:rPr>
        <w:t xml:space="preserve">Self-determination: </w:t>
      </w:r>
      <w:r>
        <w:rPr>
          <w:rFonts w:ascii="Calibri" w:hAnsi="Calibri"/>
          <w:b w:val="0"/>
          <w:i w:val="0"/>
          <w:color w:val="1B2A32"/>
          <w:sz w:val="21"/>
        </w:rPr>
        <w:t>the parties own the outcome; the mediator facilitates, never imposes.</w:t>
      </w:r>
    </w:p>
    <w:p>
      <w:pPr>
        <w:pStyle w:val="ListBullet"/>
        <w:spacing w:after="60"/>
        <w:jc w:val="both"/>
      </w:pPr>
      <w:r>
        <w:rPr>
          <w:rFonts w:ascii="Calibri" w:hAnsi="Calibri"/>
          <w:b/>
          <w:i w:val="0"/>
          <w:color w:val="123B4F"/>
          <w:sz w:val="21"/>
        </w:rPr>
        <w:t xml:space="preserve">Safety first: </w:t>
      </w:r>
      <w:r>
        <w:rPr>
          <w:rFonts w:ascii="Calibri" w:hAnsi="Calibri"/>
          <w:b w:val="0"/>
          <w:i w:val="0"/>
          <w:color w:val="1B2A32"/>
          <w:sz w:val="21"/>
        </w:rPr>
        <w:t>screening for domestic violence and power imbalance precedes everything; safety overrides throughput.</w:t>
      </w:r>
    </w:p>
    <w:p>
      <w:pPr>
        <w:pStyle w:val="ListBullet"/>
        <w:spacing w:after="60"/>
        <w:jc w:val="both"/>
      </w:pPr>
      <w:r>
        <w:rPr>
          <w:rFonts w:ascii="Calibri" w:hAnsi="Calibri"/>
          <w:b/>
          <w:i w:val="0"/>
          <w:color w:val="123B4F"/>
          <w:sz w:val="21"/>
        </w:rPr>
        <w:t xml:space="preserve">Best interests of the child: </w:t>
      </w:r>
      <w:r>
        <w:rPr>
          <w:rFonts w:ascii="Calibri" w:hAnsi="Calibri"/>
          <w:b w:val="0"/>
          <w:i w:val="0"/>
          <w:color w:val="1B2A32"/>
          <w:sz w:val="21"/>
        </w:rPr>
        <w:t>where children are involved, their welfare is the paramount consideration, above either parent's convenience.</w:t>
      </w:r>
    </w:p>
    <w:p>
      <w:pPr>
        <w:pStyle w:val="ListBullet"/>
        <w:spacing w:after="60"/>
        <w:jc w:val="both"/>
      </w:pPr>
      <w:r>
        <w:rPr>
          <w:rFonts w:ascii="Calibri" w:hAnsi="Calibri"/>
          <w:b/>
          <w:i w:val="0"/>
          <w:color w:val="123B4F"/>
          <w:sz w:val="21"/>
        </w:rPr>
        <w:t xml:space="preserve">Confidentiality by default: </w:t>
      </w:r>
      <w:r>
        <w:rPr>
          <w:rFonts w:ascii="Calibri" w:hAnsi="Calibri"/>
          <w:b w:val="0"/>
          <w:i w:val="0"/>
          <w:color w:val="1B2A32"/>
          <w:sz w:val="21"/>
        </w:rPr>
        <w:t>mediation communications are privileged, subject only to the safety carve-outs the law requires.</w:t>
      </w:r>
    </w:p>
    <w:p>
      <w:pPr>
        <w:pStyle w:val="ListBullet"/>
        <w:spacing w:after="60"/>
        <w:jc w:val="both"/>
      </w:pPr>
      <w:r>
        <w:rPr>
          <w:rFonts w:ascii="Calibri" w:hAnsi="Calibri"/>
          <w:b/>
          <w:i w:val="0"/>
          <w:color w:val="123B4F"/>
          <w:sz w:val="21"/>
        </w:rPr>
        <w:t xml:space="preserve">Voluntariness: </w:t>
      </w:r>
      <w:r>
        <w:rPr>
          <w:rFonts w:ascii="Calibri" w:hAnsi="Calibri"/>
          <w:b w:val="0"/>
          <w:i w:val="0"/>
          <w:color w:val="1B2A32"/>
          <w:sz w:val="21"/>
        </w:rPr>
        <w:t>either party may withdraw; participation and settlement are never coerced.</w:t>
      </w:r>
    </w:p>
    <w:p>
      <w:pPr>
        <w:pStyle w:val="ListBullet"/>
        <w:spacing w:after="60"/>
        <w:jc w:val="both"/>
      </w:pPr>
      <w:r>
        <w:rPr>
          <w:rFonts w:ascii="Calibri" w:hAnsi="Calibri"/>
          <w:b/>
          <w:i w:val="0"/>
          <w:color w:val="123B4F"/>
          <w:sz w:val="21"/>
        </w:rPr>
        <w:t xml:space="preserve">Legality of outcome: </w:t>
      </w:r>
      <w:r>
        <w:rPr>
          <w:rFonts w:ascii="Calibri" w:hAnsi="Calibri"/>
          <w:b w:val="0"/>
          <w:i w:val="0"/>
          <w:color w:val="1B2A32"/>
          <w:sz w:val="21"/>
        </w:rPr>
        <w:t>no settlement is finalised that a court could not lawfully accept or that defeats a protected right.</w:t>
      </w:r>
    </w:p>
    <w:p>
      <w:pPr>
        <w:pStyle w:val="ListBullet"/>
        <w:spacing w:after="60"/>
        <w:jc w:val="both"/>
      </w:pPr>
      <w:r>
        <w:rPr>
          <w:rFonts w:ascii="Calibri" w:hAnsi="Calibri"/>
          <w:b/>
          <w:i w:val="0"/>
          <w:color w:val="123B4F"/>
          <w:sz w:val="21"/>
        </w:rPr>
        <w:t xml:space="preserve">Data dignity: </w:t>
      </w:r>
      <w:r>
        <w:rPr>
          <w:rFonts w:ascii="Calibri" w:hAnsi="Calibri"/>
          <w:b w:val="0"/>
          <w:i w:val="0"/>
          <w:color w:val="1B2A32"/>
          <w:sz w:val="21"/>
        </w:rPr>
        <w:t>matrimonial data is among the most sensitive personal data there is, and is handled accordingly.</w:t>
      </w:r>
    </w:p>
    <w:p>
      <w:pPr>
        <w:spacing w:after="40"/>
      </w:pPr>
    </w:p>
    <w:p>
      <w:pPr>
        <w:keepNext/>
        <w:spacing w:before="320" w:after="140"/>
        <w:pBdr>
          <w:bottom w:val="single" w:sz="12" w:space="3" w:color="C6A15B"/>
        </w:pBdr>
      </w:pPr>
      <w:r>
        <w:rPr>
          <w:rFonts w:ascii="Calibri" w:hAnsi="Calibri"/>
          <w:b/>
          <w:i w:val="0"/>
          <w:color w:val="123B4F"/>
          <w:sz w:val="34"/>
        </w:rPr>
        <w:t>4.  How Equator Works as a Mediation Service Provider</w:t>
      </w:r>
    </w:p>
    <w:p>
      <w:pPr>
        <w:spacing w:after="140"/>
        <w:jc w:val="both"/>
      </w:pPr>
      <w:r>
        <w:rPr>
          <w:rFonts w:ascii="Calibri" w:hAnsi="Calibri"/>
          <w:b w:val="0"/>
          <w:i w:val="0"/>
          <w:color w:val="1B2A32"/>
          <w:sz w:val="21"/>
        </w:rPr>
        <w:t xml:space="preserve">Equator Resolution is the </w:t>
      </w:r>
      <w:r>
        <w:rPr>
          <w:rFonts w:ascii="Calibri" w:hAnsi="Calibri"/>
          <w:b/>
          <w:i w:val="0"/>
          <w:color w:val="1B2A32"/>
          <w:sz w:val="21"/>
        </w:rPr>
        <w:t>institution</w:t>
      </w:r>
      <w:r>
        <w:rPr>
          <w:rFonts w:ascii="Calibri" w:hAnsi="Calibri"/>
          <w:b w:val="0"/>
          <w:i w:val="0"/>
          <w:color w:val="1B2A32"/>
          <w:sz w:val="21"/>
        </w:rPr>
        <w:t xml:space="preserve"> that administers the mediation: it maintains the panel of neutrals, publishes the mediation rules and fee schedule, runs the digital case-management platform, serves notices, schedules sessions, safeguards documents and funds, and registers the settlement. The </w:t>
      </w:r>
      <w:r>
        <w:rPr>
          <w:rFonts w:ascii="Calibri" w:hAnsi="Calibri"/>
          <w:b/>
          <w:i w:val="0"/>
          <w:color w:val="1B2A32"/>
          <w:sz w:val="21"/>
        </w:rPr>
        <w:t>mediator</w:t>
      </w:r>
      <w:r>
        <w:rPr>
          <w:rFonts w:ascii="Calibri" w:hAnsi="Calibri"/>
          <w:b w:val="0"/>
          <w:i w:val="0"/>
          <w:color w:val="1B2A32"/>
          <w:sz w:val="21"/>
        </w:rPr>
        <w:t xml:space="preserve"> is the neutral third party who conducts the sessions and helps the parties reach agreement. The </w:t>
      </w:r>
      <w:r>
        <w:rPr>
          <w:rFonts w:ascii="Calibri" w:hAnsi="Calibri"/>
          <w:b/>
          <w:i w:val="0"/>
          <w:color w:val="1B2A32"/>
          <w:sz w:val="21"/>
        </w:rPr>
        <w:t>case manager</w:t>
      </w:r>
      <w:r>
        <w:rPr>
          <w:rFonts w:ascii="Calibri" w:hAnsi="Calibri"/>
          <w:b w:val="0"/>
          <w:i w:val="0"/>
          <w:color w:val="1B2A32"/>
          <w:sz w:val="21"/>
        </w:rPr>
        <w:t xml:space="preserve"> is Equator's operational officer who drives the file through its stages, enforces the timeline, and supports the mediator administratively. The </w:t>
      </w:r>
      <w:r>
        <w:rPr>
          <w:rFonts w:ascii="Calibri" w:hAnsi="Calibri"/>
          <w:b/>
          <w:i w:val="0"/>
          <w:color w:val="1B2A32"/>
          <w:sz w:val="21"/>
        </w:rPr>
        <w:t>parties</w:t>
      </w:r>
      <w:r>
        <w:rPr>
          <w:rFonts w:ascii="Calibri" w:hAnsi="Calibri"/>
          <w:b w:val="0"/>
          <w:i w:val="0"/>
          <w:color w:val="1B2A32"/>
          <w:sz w:val="21"/>
        </w:rPr>
        <w:t xml:space="preserve"> — and, where they wish, their advocates — participate through secure logins. This separation of roles is what distinguishes an institutional MSP from an individual mediator, and it is what the Mediation Council will grade.</w:t>
      </w:r>
    </w:p>
    <w:p>
      <w:pPr>
        <w:spacing w:before="80" w:after="40"/>
        <w:jc w:val="center"/>
      </w:pPr>
      <w:r>
        <w:drawing>
          <wp:inline xmlns:a="http://schemas.openxmlformats.org/drawingml/2006/main" xmlns:pic="http://schemas.openxmlformats.org/drawingml/2006/picture">
            <wp:extent cx="5852160" cy="1697178"/>
            <wp:docPr id="2" name="Picture 2"/>
            <wp:cNvGraphicFramePr>
              <a:graphicFrameLocks noChangeAspect="1"/>
            </wp:cNvGraphicFramePr>
            <a:graphic>
              <a:graphicData uri="http://schemas.openxmlformats.org/drawingml/2006/picture">
                <pic:pic>
                  <pic:nvPicPr>
                    <pic:cNvPr id="0" name="03_initiation_response.png"/>
                    <pic:cNvPicPr/>
                  </pic:nvPicPr>
                  <pic:blipFill>
                    <a:blip r:embed="rId10"/>
                    <a:stretch>
                      <a:fillRect/>
                    </a:stretch>
                  </pic:blipFill>
                  <pic:spPr>
                    <a:xfrm>
                      <a:off x="0" y="0"/>
                      <a:ext cx="5852160" cy="1697178"/>
                    </a:xfrm>
                    <a:prstGeom prst="rect"/>
                  </pic:spPr>
                </pic:pic>
              </a:graphicData>
            </a:graphic>
          </wp:inline>
        </w:drawing>
      </w:r>
    </w:p>
    <w:p>
      <w:pPr>
        <w:spacing w:before="20" w:after="200"/>
        <w:jc w:val="center"/>
      </w:pPr>
      <w:r>
        <w:rPr>
          <w:rFonts w:ascii="Calibri" w:hAnsi="Calibri"/>
          <w:b w:val="0"/>
          <w:i/>
          <w:color w:val="556168"/>
          <w:sz w:val="17"/>
        </w:rPr>
        <w:t>Figure 1 — Role interaction: either spouse initiates; the case manager administers; the respondent joins.</w:t>
      </w:r>
    </w:p>
    <w:p>
      <w:r>
        <w:br w:type="page"/>
      </w:r>
    </w:p>
    <w:p>
      <w:pPr>
        <w:spacing w:before="600" w:after="40"/>
      </w:pPr>
      <w:r>
        <w:rPr>
          <w:rFonts w:ascii="Calibri" w:hAnsi="Calibri"/>
          <w:b/>
          <w:i w:val="0"/>
          <w:color w:val="C6A15B"/>
          <w:sz w:val="26"/>
        </w:rPr>
        <w:t>PART B</w:t>
      </w:r>
    </w:p>
    <w:p>
      <w:pPr>
        <w:spacing w:after="200"/>
        <w:pBdr>
          <w:bottom w:val="single" w:sz="18" w:space="3" w:color="1E7A8C"/>
        </w:pBdr>
      </w:pPr>
      <w:r>
        <w:rPr>
          <w:rFonts w:ascii="Calibri" w:hAnsi="Calibri"/>
          <w:b/>
          <w:i w:val="0"/>
          <w:color w:val="123B4F"/>
          <w:sz w:val="46"/>
        </w:rPr>
        <w:t>The Legal Framework</w:t>
      </w:r>
    </w:p>
    <w:p>
      <w:pPr>
        <w:keepNext/>
        <w:spacing w:before="320" w:after="140"/>
        <w:pBdr>
          <w:bottom w:val="single" w:sz="12" w:space="3" w:color="C6A15B"/>
        </w:pBdr>
      </w:pPr>
      <w:r>
        <w:rPr>
          <w:rFonts w:ascii="Calibri" w:hAnsi="Calibri"/>
          <w:b/>
          <w:i w:val="0"/>
          <w:color w:val="123B4F"/>
          <w:sz w:val="34"/>
        </w:rPr>
        <w:t>5.  Governing-Law Landscape: Which Law Applies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India has no single 'marriage law'. The law that governs a couple's divorce, maintenance, custody and property depends chiefly on the </w:t>
            </w:r>
            <w:r>
              <w:rPr>
                <w:rFonts w:ascii="Calibri" w:hAnsi="Calibri"/>
                <w:b/>
                <w:i w:val="0"/>
                <w:color w:val="1B2A32"/>
                <w:sz w:val="20"/>
              </w:rPr>
              <w:t>religion of the parties and the law under which they married</w:t>
            </w:r>
            <w:r>
              <w:rPr>
                <w:rFonts w:ascii="Calibri" w:hAnsi="Calibri"/>
                <w:b w:val="0"/>
                <w:i w:val="0"/>
                <w:color w:val="1B2A32"/>
                <w:sz w:val="20"/>
              </w:rPr>
              <w:t xml:space="preserve">. The first job of intake is to identify the correct regime, because it determines the available reliefs, the grounds, the waiting periods and the forms. Criminal law (cruelty, dowry, domestic violence) and the data-protection law, by contrast, apply </w:t>
            </w:r>
            <w:r>
              <w:rPr>
                <w:rFonts w:ascii="Calibri" w:hAnsi="Calibri"/>
                <w:b/>
                <w:i w:val="0"/>
                <w:color w:val="1B2A32"/>
                <w:sz w:val="20"/>
              </w:rPr>
              <w:t>uniformly</w:t>
            </w:r>
            <w:r>
              <w:rPr>
                <w:rFonts w:ascii="Calibri" w:hAnsi="Calibri"/>
                <w:b w:val="0"/>
                <w:i w:val="0"/>
                <w:color w:val="1B2A32"/>
                <w:sz w:val="20"/>
              </w:rPr>
              <w:t xml:space="preserve"> regardless of religion.</w:t>
            </w:r>
          </w:p>
        </w:tc>
      </w:tr>
    </w:tbl>
    <w:p>
      <w:pPr>
        <w:spacing w:after="120"/>
      </w:pPr>
    </w:p>
    <w:p>
      <w:pPr>
        <w:spacing w:after="140"/>
        <w:jc w:val="both"/>
      </w:pPr>
      <w:r>
        <w:rPr>
          <w:rFonts w:ascii="Calibri" w:hAnsi="Calibri"/>
          <w:b w:val="0"/>
          <w:i w:val="0"/>
          <w:color w:val="1B2A32"/>
          <w:sz w:val="21"/>
        </w:rPr>
        <w:t xml:space="preserve">Personal law in India is pluralistic. Hindus, Buddhists, Jains and Sikhs marry and divorce under the Hindu Marriage Act, 1955. Couples marrying across religion or caste, or choosing a secular civil marriage, use the Special Marriage Act, 1954. Muslims are governed by uncodified Muslim personal law as modified by statute. Christians marry under the Indian Christian Marriage Act, 1872 and divorce under the Divorce Act, 1869. Parsis are governed by the Parsi Marriage and Divorce Act, 1936. Over all of these sit </w:t>
      </w:r>
      <w:r>
        <w:rPr>
          <w:rFonts w:ascii="Calibri" w:hAnsi="Calibri"/>
          <w:b/>
          <w:i w:val="0"/>
          <w:color w:val="1B2A32"/>
          <w:sz w:val="21"/>
        </w:rPr>
        <w:t>secular, religion-neutral</w:t>
      </w:r>
      <w:r>
        <w:rPr>
          <w:rFonts w:ascii="Calibri" w:hAnsi="Calibri"/>
          <w:b w:val="0"/>
          <w:i w:val="0"/>
          <w:color w:val="1B2A32"/>
          <w:sz w:val="21"/>
        </w:rPr>
        <w:t xml:space="preserve"> statutes: the Protection of Women from Domestic Violence Act, 2005; maintenance under Section 144 of the BNSS (formerly Section 125 CrPC); the criminal provisions of the BNS; the Dowry Prohibition Act, 1961; the Guardians and Wards Act, 1890; and the Family Courts Act, 1984.</w:t>
      </w:r>
    </w:p>
    <w:p>
      <w:pPr>
        <w:spacing w:after="140"/>
        <w:jc w:val="both"/>
      </w:pPr>
      <w:r>
        <w:rPr>
          <w:rFonts w:ascii="Calibri" w:hAnsi="Calibri"/>
          <w:b w:val="0"/>
          <w:i w:val="0"/>
          <w:color w:val="1B2A32"/>
          <w:sz w:val="21"/>
        </w:rPr>
        <w:t xml:space="preserve">For mediation this pluralism matters in a specific, practical way. The </w:t>
      </w:r>
      <w:r>
        <w:rPr>
          <w:rFonts w:ascii="Calibri" w:hAnsi="Calibri"/>
          <w:b/>
          <w:i w:val="0"/>
          <w:color w:val="1B2A32"/>
          <w:sz w:val="21"/>
        </w:rPr>
        <w:t>substance</w:t>
      </w:r>
      <w:r>
        <w:rPr>
          <w:rFonts w:ascii="Calibri" w:hAnsi="Calibri"/>
          <w:b w:val="0"/>
          <w:i w:val="0"/>
          <w:color w:val="1B2A32"/>
          <w:sz w:val="21"/>
        </w:rPr>
        <w:t xml:space="preserve"> of what the parties can agree — the grounds and form of dissolution, the entitlement to and measure of maintenance, the framework for custody, the treatment of dower or streedhan — is set by the applicable personal law and must be respected so that the resulting settlement is one a court can lawfully endorse. The </w:t>
      </w:r>
      <w:r>
        <w:rPr>
          <w:rFonts w:ascii="Calibri" w:hAnsi="Calibri"/>
          <w:b/>
          <w:i w:val="0"/>
          <w:color w:val="1B2A32"/>
          <w:sz w:val="21"/>
        </w:rPr>
        <w:t>process</w:t>
      </w:r>
      <w:r>
        <w:rPr>
          <w:rFonts w:ascii="Calibri" w:hAnsi="Calibri"/>
          <w:b w:val="0"/>
          <w:i w:val="0"/>
          <w:color w:val="1B2A32"/>
          <w:sz w:val="21"/>
        </w:rPr>
        <w:t xml:space="preserve"> of reaching agreement, however, is common to all: it is the Mediation Act, 2023 process described in Part C. Equator's taxonomy therefore captures the marriage regime at intake and attaches the correct legal checklist to the file automatically.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Marriage regime</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9"/>
              </w:rPr>
              <w:t>Principal governing statute(s)</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9"/>
              </w:rPr>
              <w:t>Mutual-consent divorce route</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Hindu / Buddhist / Jain / Sikh</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Hindu Marriage Act, 1955</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s.13B (living apart ≥ 1 year)</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Inter-faith / inter-caste / civil</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Special Marriage Act, 1954</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s.28 (living apart ≥ 1 year)</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Muslim</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Uncodified Muslim law; Shariat Act 1937; Dissolution of Muslim Marriages Act 1939; 2019 Act</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Khula / Mubarat; talaq-e-tafweez</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Christian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Christian Marriage Act 1872; Divorce Act 1869</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s.10A (living apart ≥ 2 years)</w:t>
            </w:r>
          </w:p>
        </w:tc>
      </w:tr>
      <w:tr>
        <w:trPr>
          <w:trHeight w:val="0"/>
        </w:trPr>
        <w:tc>
          <w:tcPr>
            <w:tcW w:type="dxa" w:w="2471"/>
            <w:tcMar>
              <w:top w:w="60" w:type="dxa"/>
              <w:bottom w:w="60" w:type="dxa"/>
              <w:start w:w="110" w:type="dxa"/>
              <w:end w:w="110" w:type="dxa"/>
            </w:tcMar>
          </w:tcPr>
          <w:p>
            <w:pPr>
              <w:spacing w:after="0"/>
              <w:jc w:val="left"/>
            </w:pPr>
            <w:r>
              <w:rPr>
                <w:rFonts w:ascii="Calibri" w:hAnsi="Calibri"/>
                <w:b w:val="0"/>
                <w:i w:val="0"/>
                <w:color w:val="1B2A32"/>
                <w:sz w:val="19"/>
              </w:rPr>
              <w:t>Parsi</w:t>
            </w:r>
          </w:p>
        </w:tc>
        <w:tc>
          <w:tcPr>
            <w:tcW w:type="dxa" w:w="4182"/>
            <w:tcMar>
              <w:top w:w="60" w:type="dxa"/>
              <w:bottom w:w="60" w:type="dxa"/>
              <w:start w:w="110" w:type="dxa"/>
              <w:end w:w="110" w:type="dxa"/>
            </w:tcMar>
          </w:tcPr>
          <w:p>
            <w:pPr>
              <w:spacing w:after="0"/>
              <w:jc w:val="left"/>
            </w:pPr>
            <w:r>
              <w:rPr>
                <w:rFonts w:ascii="Calibri" w:hAnsi="Calibri"/>
                <w:b w:val="0"/>
                <w:i w:val="0"/>
                <w:color w:val="1B2A32"/>
                <w:sz w:val="19"/>
              </w:rPr>
              <w:t>Parsi Marriage and Divorce Act, 1936</w:t>
            </w:r>
          </w:p>
        </w:tc>
        <w:tc>
          <w:tcPr>
            <w:tcW w:type="dxa" w:w="2851"/>
            <w:tcMar>
              <w:top w:w="60" w:type="dxa"/>
              <w:bottom w:w="60" w:type="dxa"/>
              <w:start w:w="110" w:type="dxa"/>
              <w:end w:w="110" w:type="dxa"/>
            </w:tcMar>
          </w:tcPr>
          <w:p>
            <w:pPr>
              <w:spacing w:after="0"/>
              <w:jc w:val="left"/>
            </w:pPr>
            <w:r>
              <w:rPr>
                <w:rFonts w:ascii="Calibri" w:hAnsi="Calibri"/>
                <w:b w:val="0"/>
                <w:i w:val="0"/>
                <w:color w:val="1B2A32"/>
                <w:sz w:val="19"/>
              </w:rPr>
              <w:t>s.32B (living apart ≥ 1 year)</w:t>
            </w:r>
          </w:p>
        </w:tc>
      </w:tr>
      <w:tr>
        <w:trPr>
          <w:trHeight w:val="0"/>
        </w:trPr>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NRI / overseas</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Personal law of the marriage + CPC/foreign-decree rules</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Per the governing personal law; often video-mediation</w:t>
            </w:r>
          </w:p>
        </w:tc>
      </w:tr>
    </w:tbl>
    <w:p>
      <w:pPr>
        <w:spacing w:after="80"/>
      </w:pPr>
    </w:p>
    <w:p>
      <w:pPr>
        <w:spacing w:before="20" w:after="200"/>
        <w:jc w:val="center"/>
      </w:pPr>
      <w:r>
        <w:rPr>
          <w:rFonts w:ascii="Calibri" w:hAnsi="Calibri"/>
          <w:b w:val="0"/>
          <w:i/>
          <w:color w:val="556168"/>
          <w:sz w:val="17"/>
        </w:rPr>
        <w:t>Table 1 — Marriage regime determines the governing statute and the mutual-consent route.</w:t>
      </w:r>
    </w:p>
    <w:p>
      <w:pPr>
        <w:keepNext/>
        <w:spacing w:before="320" w:after="140"/>
        <w:pBdr>
          <w:bottom w:val="single" w:sz="12" w:space="3" w:color="C6A15B"/>
        </w:pBdr>
      </w:pPr>
      <w:r>
        <w:rPr>
          <w:rFonts w:ascii="Calibri" w:hAnsi="Calibri"/>
          <w:b/>
          <w:i w:val="0"/>
          <w:color w:val="123B4F"/>
          <w:sz w:val="34"/>
        </w:rPr>
        <w:t>6.  Marriage Regimes in Detail</w:t>
      </w:r>
    </w:p>
    <w:p>
      <w:pPr>
        <w:keepNext/>
        <w:spacing w:before="220" w:after="80"/>
      </w:pPr>
      <w:r>
        <w:rPr>
          <w:rFonts w:ascii="Calibri" w:hAnsi="Calibri"/>
          <w:b/>
          <w:i w:val="0"/>
          <w:color w:val="1E7A8C"/>
          <w:sz w:val="26"/>
        </w:rPr>
        <w:t>6.1   Hindu Marriage Act, 1955</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Covers Hindus, Buddhists, Jains and Sikhs. Divorce can be by </w:t>
            </w:r>
            <w:r>
              <w:rPr>
                <w:rFonts w:ascii="Calibri" w:hAnsi="Calibri"/>
                <w:b/>
                <w:i w:val="0"/>
                <w:color w:val="1B2A32"/>
                <w:sz w:val="20"/>
              </w:rPr>
              <w:t>mutual consent</w:t>
            </w:r>
            <w:r>
              <w:rPr>
                <w:rFonts w:ascii="Calibri" w:hAnsi="Calibri"/>
                <w:b w:val="0"/>
                <w:i w:val="0"/>
                <w:color w:val="1B2A32"/>
                <w:sz w:val="20"/>
              </w:rPr>
              <w:t xml:space="preserve"> (both agree) or </w:t>
            </w:r>
            <w:r>
              <w:rPr>
                <w:rFonts w:ascii="Calibri" w:hAnsi="Calibri"/>
                <w:b/>
                <w:i w:val="0"/>
                <w:color w:val="1B2A32"/>
                <w:sz w:val="20"/>
              </w:rPr>
              <w:t>contested</w:t>
            </w:r>
            <w:r>
              <w:rPr>
                <w:rFonts w:ascii="Calibri" w:hAnsi="Calibri"/>
                <w:b w:val="0"/>
                <w:i w:val="0"/>
                <w:color w:val="1B2A32"/>
                <w:sz w:val="20"/>
              </w:rPr>
              <w:t xml:space="preserve"> (one proves a fault ground such as cruelty, desertion or adultery). Mutual consent needs the couple to have lived apart at least a year and involves two motions with a cooling-off gap that the court can waive. Courts must try to reconcile the parties first — which is exactly where mediation fits.</w:t>
            </w:r>
          </w:p>
        </w:tc>
      </w:tr>
    </w:tbl>
    <w:p>
      <w:pPr>
        <w:spacing w:after="120"/>
      </w:pPr>
    </w:p>
    <w:p>
      <w:pPr>
        <w:spacing w:after="140"/>
        <w:jc w:val="both"/>
      </w:pPr>
      <w:r>
        <w:rPr>
          <w:rFonts w:ascii="Calibri" w:hAnsi="Calibri"/>
          <w:b w:val="0"/>
          <w:i w:val="0"/>
          <w:color w:val="1B2A32"/>
          <w:sz w:val="21"/>
        </w:rPr>
        <w:t xml:space="preserve">The Act's architecture moves from lesser to greater remedies. Section 9 provides for </w:t>
      </w:r>
      <w:r>
        <w:rPr>
          <w:rFonts w:ascii="Calibri" w:hAnsi="Calibri"/>
          <w:b/>
          <w:i w:val="0"/>
          <w:color w:val="1B2A32"/>
          <w:sz w:val="21"/>
        </w:rPr>
        <w:t>restitution of conjugal rights</w:t>
      </w:r>
      <w:r>
        <w:rPr>
          <w:rFonts w:ascii="Calibri" w:hAnsi="Calibri"/>
          <w:b w:val="0"/>
          <w:i w:val="0"/>
          <w:color w:val="1B2A32"/>
          <w:sz w:val="21"/>
        </w:rPr>
        <w:t xml:space="preserve">, by which a spouse who has withdrawn from the society of the other without reasonable cause may be directed to return. Section 10 provides </w:t>
      </w:r>
      <w:r>
        <w:rPr>
          <w:rFonts w:ascii="Calibri" w:hAnsi="Calibri"/>
          <w:b/>
          <w:i w:val="0"/>
          <w:color w:val="1B2A32"/>
          <w:sz w:val="21"/>
        </w:rPr>
        <w:t>judicial separation</w:t>
      </w:r>
      <w:r>
        <w:rPr>
          <w:rFonts w:ascii="Calibri" w:hAnsi="Calibri"/>
          <w:b w:val="0"/>
          <w:i w:val="0"/>
          <w:color w:val="1B2A32"/>
          <w:sz w:val="21"/>
        </w:rPr>
        <w:t xml:space="preserve">, which suspends the obligation to cohabit without dissolving the marriage and is often a stepping-stone or a face-saving alternative to divorce. Section 13 sets out the </w:t>
      </w:r>
      <w:r>
        <w:rPr>
          <w:rFonts w:ascii="Calibri" w:hAnsi="Calibri"/>
          <w:b/>
          <w:i w:val="0"/>
          <w:color w:val="1B2A32"/>
          <w:sz w:val="21"/>
        </w:rPr>
        <w:t>fault grounds</w:t>
      </w:r>
      <w:r>
        <w:rPr>
          <w:rFonts w:ascii="Calibri" w:hAnsi="Calibri"/>
          <w:b w:val="0"/>
          <w:i w:val="0"/>
          <w:color w:val="1B2A32"/>
          <w:sz w:val="21"/>
        </w:rPr>
        <w:t xml:space="preserve"> for divorce — cruelty, desertion for a continuous period of not less than two years, adultery, conversion to another religion, unsoundness of mind, virulent and incurable disease, renunciation of the world, and presumption of death — with additional grounds available to the wife under Section 13(2). Section 13(1A) allows divorce where cohabitation has not resumed after a decree of judicial separation or restitution.</w:t>
      </w:r>
    </w:p>
    <w:p>
      <w:pPr>
        <w:spacing w:after="140"/>
        <w:jc w:val="both"/>
      </w:pPr>
      <w:r>
        <w:rPr>
          <w:rFonts w:ascii="Calibri" w:hAnsi="Calibri"/>
          <w:b w:val="0"/>
          <w:i w:val="0"/>
          <w:color w:val="1B2A32"/>
          <w:sz w:val="21"/>
        </w:rPr>
        <w:t xml:space="preserve">Section 13B provides </w:t>
      </w:r>
      <w:r>
        <w:rPr>
          <w:rFonts w:ascii="Calibri" w:hAnsi="Calibri"/>
          <w:b/>
          <w:i w:val="0"/>
          <w:color w:val="1B2A32"/>
          <w:sz w:val="21"/>
        </w:rPr>
        <w:t>divorce by mutual consent</w:t>
      </w:r>
      <w:r>
        <w:rPr>
          <w:rFonts w:ascii="Calibri" w:hAnsi="Calibri"/>
          <w:b w:val="0"/>
          <w:i w:val="0"/>
          <w:color w:val="1B2A32"/>
          <w:sz w:val="21"/>
        </w:rPr>
        <w:t xml:space="preserve">. The parties must have been living separately for a year or more and must jointly petition; after a first motion, a cooling-off period of at least six months (and at most eighteen) precedes the second motion, at which the decree is granted. Sections 24 and 25 govern </w:t>
      </w:r>
      <w:r>
        <w:rPr>
          <w:rFonts w:ascii="Calibri" w:hAnsi="Calibri"/>
          <w:b/>
          <w:i w:val="0"/>
          <w:color w:val="1B2A32"/>
          <w:sz w:val="21"/>
        </w:rPr>
        <w:t>maintenance pendente lite and permanent alimony</w:t>
      </w:r>
      <w:r>
        <w:rPr>
          <w:rFonts w:ascii="Calibri" w:hAnsi="Calibri"/>
          <w:b w:val="0"/>
          <w:i w:val="0"/>
          <w:color w:val="1B2A32"/>
          <w:sz w:val="21"/>
        </w:rPr>
        <w:t xml:space="preserve">, Section 26 governs </w:t>
      </w:r>
      <w:r>
        <w:rPr>
          <w:rFonts w:ascii="Calibri" w:hAnsi="Calibri"/>
          <w:b/>
          <w:i w:val="0"/>
          <w:color w:val="1B2A32"/>
          <w:sz w:val="21"/>
        </w:rPr>
        <w:t>custody</w:t>
      </w:r>
      <w:r>
        <w:rPr>
          <w:rFonts w:ascii="Calibri" w:hAnsi="Calibri"/>
          <w:b w:val="0"/>
          <w:i w:val="0"/>
          <w:color w:val="1B2A32"/>
          <w:sz w:val="21"/>
        </w:rPr>
        <w:t>, and Section 23(2) obliges the court to attempt reconciliation before granting relief. For Equator, the mutual-consent route is the natural destination of a successful mediation: the mediated settlement becomes the agreed basis for the joint petition.</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HMA 1955: s.9 (RCR), s.10 (judicial separation), s.13 (grounds), s.13(1A), s.13(2) (wife's grounds), s.13B (mutual consent), s.14 (no petition within 1 year), ss.24–25 (maintenance/alimony), s.26 (custody), s.23(2) (reconciliation). Key cases: </w:t>
            </w:r>
            <w:r>
              <w:rPr>
                <w:rFonts w:ascii="Calibri" w:hAnsi="Calibri"/>
                <w:b/>
                <w:i w:val="0"/>
                <w:color w:val="1B2A32"/>
                <w:sz w:val="20"/>
              </w:rPr>
              <w:t>Amardeep Singh v. Harveen Kaur, (2017) 8 SCC 746</w:t>
            </w:r>
            <w:r>
              <w:rPr>
                <w:rFonts w:ascii="Calibri" w:hAnsi="Calibri"/>
                <w:b w:val="0"/>
                <w:i w:val="0"/>
                <w:color w:val="1B2A32"/>
                <w:sz w:val="20"/>
              </w:rPr>
              <w:t xml:space="preserve"> (the six-month cooling-off under s.13B(2) is directory, not mandatory, and may be waived); </w:t>
            </w:r>
            <w:r>
              <w:rPr>
                <w:rFonts w:ascii="Calibri" w:hAnsi="Calibri"/>
                <w:b/>
                <w:i w:val="0"/>
                <w:color w:val="1B2A32"/>
                <w:sz w:val="20"/>
              </w:rPr>
              <w:t>Shilpa Sailesh v. Varun Sreenivasan, 2023 INSC 468</w:t>
            </w:r>
            <w:r>
              <w:rPr>
                <w:rFonts w:ascii="Calibri" w:hAnsi="Calibri"/>
                <w:b w:val="0"/>
                <w:i w:val="0"/>
                <w:color w:val="1B2A32"/>
                <w:sz w:val="20"/>
              </w:rPr>
              <w:t xml:space="preserve"> (the Supreme Court may dissolve a marriage on the ground of irretrievable breakdown and waive the waiting period under Article 142).</w:t>
            </w:r>
          </w:p>
        </w:tc>
      </w:tr>
    </w:tbl>
    <w:p>
      <w:pPr>
        <w:spacing w:after="120"/>
      </w:pP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Two settlement accelerants flow from the case law. Where a mediated couple has already lived apart and settled all issues, the cooling-off period can be </w:t>
            </w:r>
            <w:r>
              <w:rPr>
                <w:rFonts w:ascii="Calibri" w:hAnsi="Calibri"/>
                <w:b/>
                <w:i w:val="0"/>
                <w:color w:val="1B2A32"/>
                <w:sz w:val="20"/>
              </w:rPr>
              <w:t>waived</w:t>
            </w:r>
            <w:r>
              <w:rPr>
                <w:rFonts w:ascii="Calibri" w:hAnsi="Calibri"/>
                <w:b w:val="0"/>
                <w:i w:val="0"/>
                <w:color w:val="1B2A32"/>
                <w:sz w:val="20"/>
              </w:rPr>
              <w:t xml:space="preserve"> (Amardeep Singh), and a genuinely dead marriage can be dissolved on </w:t>
            </w:r>
            <w:r>
              <w:rPr>
                <w:rFonts w:ascii="Calibri" w:hAnsi="Calibri"/>
                <w:b/>
                <w:i w:val="0"/>
                <w:color w:val="1B2A32"/>
                <w:sz w:val="20"/>
              </w:rPr>
              <w:t>irretrievable breakdown</w:t>
            </w:r>
            <w:r>
              <w:rPr>
                <w:rFonts w:ascii="Calibri" w:hAnsi="Calibri"/>
                <w:b w:val="0"/>
                <w:i w:val="0"/>
                <w:color w:val="1B2A32"/>
                <w:sz w:val="20"/>
              </w:rPr>
              <w:t xml:space="preserve"> even without the full statutory route (Shilpa Sailesh). Equator's settlement drafting should record the separation period and the completeness of the settlement so counsel can seek waiver.</w:t>
            </w:r>
          </w:p>
        </w:tc>
      </w:tr>
    </w:tbl>
    <w:p>
      <w:pPr>
        <w:spacing w:after="120"/>
      </w:pPr>
    </w:p>
    <w:p>
      <w:pPr>
        <w:keepNext/>
        <w:spacing w:before="220" w:after="80"/>
      </w:pPr>
      <w:r>
        <w:rPr>
          <w:rFonts w:ascii="Calibri" w:hAnsi="Calibri"/>
          <w:b/>
          <w:i w:val="0"/>
          <w:color w:val="1E7A8C"/>
          <w:sz w:val="26"/>
        </w:rPr>
        <w:t>6.2   Special Marriage Act, 1954 (inter-faith, inter-caste &amp; civil marriages)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go-to law for couples of different religions or castes, or anyone wanting a secular marriage. Divorce grounds mirror the Hindu Marriage Act; mutual-consent divorce needs one year of living apart. A well-known pain point is the </w:t>
            </w:r>
            <w:r>
              <w:rPr>
                <w:rFonts w:ascii="Calibri" w:hAnsi="Calibri"/>
                <w:b/>
                <w:i w:val="0"/>
                <w:color w:val="1B2A32"/>
                <w:sz w:val="20"/>
              </w:rPr>
              <w:t>30-day public notice</w:t>
            </w:r>
            <w:r>
              <w:rPr>
                <w:rFonts w:ascii="Calibri" w:hAnsi="Calibri"/>
                <w:b w:val="0"/>
                <w:i w:val="0"/>
                <w:color w:val="1B2A32"/>
                <w:sz w:val="20"/>
              </w:rPr>
              <w:t xml:space="preserve"> before marriage, which can expose couples to family or community pressure — a real safety consideration Equator must handle sensitively.</w:t>
            </w:r>
          </w:p>
        </w:tc>
      </w:tr>
    </w:tbl>
    <w:p>
      <w:pPr>
        <w:spacing w:after="120"/>
      </w:pPr>
    </w:p>
    <w:p>
      <w:pPr>
        <w:spacing w:after="140"/>
        <w:jc w:val="both"/>
      </w:pPr>
      <w:r>
        <w:rPr>
          <w:rFonts w:ascii="Calibri" w:hAnsi="Calibri"/>
          <w:b w:val="0"/>
          <w:i w:val="0"/>
          <w:color w:val="1B2A32"/>
          <w:sz w:val="21"/>
        </w:rPr>
        <w:t>The Special Marriage Act enables marriage without either party renouncing their religion, and is the principal legal vehicle for inter-faith and inter-caste unions. Sections 5 to 7 require a notice of intended marriage, its publication, and a 30-day window for objections; Section 4 sets the conditions for a valid marriage. The grounds for divorce under Section 27 broadly track the Hindu Marriage Act — adultery, cruelty, desertion of not less than two years, imprisonment, unsoundness of mind and the like — and Section 28 provides divorce by mutual consent where the parties have lived separately for a year. The notice-and-publication regime has drawn sustained constitutional criticism as an invasion of privacy, and several High Courts have directed that the public-display requirement should not be enforced in a way that endangers couples facing family or community hostility.</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SMA 1954: s.4 (conditions), ss.5–7 (notice, publication, objection), s.15 (registration of existing marriages), s.27 (grounds), s.28 (mutual consent). Privacy of the notice regime: read in light of </w:t>
            </w:r>
            <w:r>
              <w:rPr>
                <w:rFonts w:ascii="Calibri" w:hAnsi="Calibri"/>
                <w:b/>
                <w:i w:val="0"/>
                <w:color w:val="1B2A32"/>
                <w:sz w:val="20"/>
              </w:rPr>
              <w:t>K.S. Puttaswamy v. Union of India, (2017) 10 SCC 1</w:t>
            </w:r>
            <w:r>
              <w:rPr>
                <w:rFonts w:ascii="Calibri" w:hAnsi="Calibri"/>
                <w:b w:val="0"/>
                <w:i w:val="0"/>
                <w:color w:val="1B2A32"/>
                <w:sz w:val="20"/>
              </w:rPr>
              <w:t xml:space="preserve"> and subsequent High Court directions limiting mandatory public display where safety is at risk.</w:t>
            </w:r>
          </w:p>
        </w:tc>
      </w:tr>
    </w:tbl>
    <w:p>
      <w:pPr>
        <w:spacing w:after="12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Inter-faith and inter-caste couples frequently face third-party (family/community) hostility, sometimes amounting to threats. Where such a couple mediates a dispute, Equator must treat their contact data as high-risk, avoid any public exposure, and be alert to coercion of a party by relatives — a classic power-imbalance red flag.</w:t>
            </w:r>
          </w:p>
        </w:tc>
      </w:tr>
    </w:tbl>
    <w:p>
      <w:pPr>
        <w:spacing w:after="120"/>
      </w:pPr>
    </w:p>
    <w:p>
      <w:pPr>
        <w:keepNext/>
        <w:spacing w:before="220" w:after="80"/>
      </w:pPr>
      <w:r>
        <w:rPr>
          <w:rFonts w:ascii="Calibri" w:hAnsi="Calibri"/>
          <w:b/>
          <w:i w:val="0"/>
          <w:color w:val="1E7A8C"/>
          <w:sz w:val="26"/>
        </w:rPr>
        <w:t>6.3   Muslim (Mohammedan) Law</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Muslim marriage (nikah) is a civil contract with a </w:t>
            </w:r>
            <w:r>
              <w:rPr>
                <w:rFonts w:ascii="Calibri" w:hAnsi="Calibri"/>
                <w:b/>
                <w:i w:val="0"/>
                <w:color w:val="1B2A32"/>
                <w:sz w:val="20"/>
              </w:rPr>
              <w:t>mahr (dower)</w:t>
            </w:r>
            <w:r>
              <w:rPr>
                <w:rFonts w:ascii="Calibri" w:hAnsi="Calibri"/>
                <w:b w:val="0"/>
                <w:i w:val="0"/>
                <w:color w:val="1B2A32"/>
                <w:sz w:val="20"/>
              </w:rPr>
              <w:t xml:space="preserve"> payable to the wife. Divorce can come from the husband, the wife, both together, or a court. Instant 'triple talaq' is now </w:t>
            </w:r>
            <w:r>
              <w:rPr>
                <w:rFonts w:ascii="Calibri" w:hAnsi="Calibri"/>
                <w:b/>
                <w:i w:val="0"/>
                <w:color w:val="1B2A32"/>
                <w:sz w:val="20"/>
              </w:rPr>
              <w:t>void and a criminal offence</w:t>
            </w:r>
            <w:r>
              <w:rPr>
                <w:rFonts w:ascii="Calibri" w:hAnsi="Calibri"/>
                <w:b w:val="0"/>
                <w:i w:val="0"/>
                <w:color w:val="1B2A32"/>
                <w:sz w:val="20"/>
              </w:rPr>
              <w:t>. Wife-initiated divorce (</w:t>
            </w:r>
            <w:r>
              <w:rPr>
                <w:rFonts w:ascii="Calibri" w:hAnsi="Calibri"/>
                <w:b/>
                <w:i w:val="0"/>
                <w:color w:val="1B2A32"/>
                <w:sz w:val="20"/>
              </w:rPr>
              <w:t>khula</w:t>
            </w:r>
            <w:r>
              <w:rPr>
                <w:rFonts w:ascii="Calibri" w:hAnsi="Calibri"/>
                <w:b w:val="0"/>
                <w:i w:val="0"/>
                <w:color w:val="1B2A32"/>
                <w:sz w:val="20"/>
              </w:rPr>
              <w:t>) and mutual divorce (</w:t>
            </w:r>
            <w:r>
              <w:rPr>
                <w:rFonts w:ascii="Calibri" w:hAnsi="Calibri"/>
                <w:b/>
                <w:i w:val="0"/>
                <w:color w:val="1B2A32"/>
                <w:sz w:val="20"/>
              </w:rPr>
              <w:t>mubarat</w:t>
            </w:r>
            <w:r>
              <w:rPr>
                <w:rFonts w:ascii="Calibri" w:hAnsi="Calibri"/>
                <w:b w:val="0"/>
                <w:i w:val="0"/>
                <w:color w:val="1B2A32"/>
                <w:sz w:val="20"/>
              </w:rPr>
              <w:t>) are highly amenable to mediation, as are disputes over mahr, maintenance during iddat and beyond, and custody (hizanat).</w:t>
            </w:r>
          </w:p>
        </w:tc>
      </w:tr>
    </w:tbl>
    <w:p>
      <w:pPr>
        <w:spacing w:after="120"/>
      </w:pPr>
    </w:p>
    <w:p>
      <w:pPr>
        <w:spacing w:after="140"/>
        <w:jc w:val="both"/>
      </w:pPr>
      <w:r>
        <w:rPr>
          <w:rFonts w:ascii="Calibri" w:hAnsi="Calibri"/>
          <w:b w:val="0"/>
          <w:i w:val="0"/>
          <w:color w:val="1B2A32"/>
          <w:sz w:val="21"/>
        </w:rPr>
        <w:t xml:space="preserve">Muslim personal law derives from the Quran, Sunna, Ijma and Qiyas, as applied through the Muslim Personal Law (Shariat) Application Act, 1937. Marriage is a contract; the </w:t>
      </w:r>
      <w:r>
        <w:rPr>
          <w:rFonts w:ascii="Calibri" w:hAnsi="Calibri"/>
          <w:b/>
          <w:i w:val="0"/>
          <w:color w:val="1B2A32"/>
          <w:sz w:val="21"/>
        </w:rPr>
        <w:t>mahr</w:t>
      </w:r>
      <w:r>
        <w:rPr>
          <w:rFonts w:ascii="Calibri" w:hAnsi="Calibri"/>
          <w:b w:val="0"/>
          <w:i w:val="0"/>
          <w:color w:val="1B2A32"/>
          <w:sz w:val="21"/>
        </w:rPr>
        <w:t xml:space="preserve"> is the wife's absolute right, often split into a prompt and a deferred portion, the latter typically falling due on divorce. Divorce takes several forms: by the husband through the approved </w:t>
      </w:r>
      <w:r>
        <w:rPr>
          <w:rFonts w:ascii="Calibri" w:hAnsi="Calibri"/>
          <w:b/>
          <w:i w:val="0"/>
          <w:color w:val="1B2A32"/>
          <w:sz w:val="21"/>
        </w:rPr>
        <w:t>talaq-e-ahsan</w:t>
      </w:r>
      <w:r>
        <w:rPr>
          <w:rFonts w:ascii="Calibri" w:hAnsi="Calibri"/>
          <w:b w:val="0"/>
          <w:i w:val="0"/>
          <w:color w:val="1B2A32"/>
          <w:sz w:val="21"/>
        </w:rPr>
        <w:t xml:space="preserve"> and </w:t>
      </w:r>
      <w:r>
        <w:rPr>
          <w:rFonts w:ascii="Calibri" w:hAnsi="Calibri"/>
          <w:b/>
          <w:i w:val="0"/>
          <w:color w:val="1B2A32"/>
          <w:sz w:val="21"/>
        </w:rPr>
        <w:t>talaq-e-hasan</w:t>
      </w:r>
      <w:r>
        <w:rPr>
          <w:rFonts w:ascii="Calibri" w:hAnsi="Calibri"/>
          <w:b w:val="0"/>
          <w:i w:val="0"/>
          <w:color w:val="1B2A32"/>
          <w:sz w:val="21"/>
        </w:rPr>
        <w:t xml:space="preserve">; by the wife through </w:t>
      </w:r>
      <w:r>
        <w:rPr>
          <w:rFonts w:ascii="Calibri" w:hAnsi="Calibri"/>
          <w:b/>
          <w:i w:val="0"/>
          <w:color w:val="1B2A32"/>
          <w:sz w:val="21"/>
        </w:rPr>
        <w:t>khula</w:t>
      </w:r>
      <w:r>
        <w:rPr>
          <w:rFonts w:ascii="Calibri" w:hAnsi="Calibri"/>
          <w:b w:val="0"/>
          <w:i w:val="0"/>
          <w:color w:val="1B2A32"/>
          <w:sz w:val="21"/>
        </w:rPr>
        <w:t xml:space="preserve"> (where she seeks release, usually returning the mahr or agreed consideration) or through a delegated power (</w:t>
      </w:r>
      <w:r>
        <w:rPr>
          <w:rFonts w:ascii="Calibri" w:hAnsi="Calibri"/>
          <w:b/>
          <w:i w:val="0"/>
          <w:color w:val="1B2A32"/>
          <w:sz w:val="21"/>
        </w:rPr>
        <w:t>talaq-e-tafweez</w:t>
      </w:r>
      <w:r>
        <w:rPr>
          <w:rFonts w:ascii="Calibri" w:hAnsi="Calibri"/>
          <w:b w:val="0"/>
          <w:i w:val="0"/>
          <w:color w:val="1B2A32"/>
          <w:sz w:val="21"/>
        </w:rPr>
        <w:t xml:space="preserve">); by mutual agreement through </w:t>
      </w:r>
      <w:r>
        <w:rPr>
          <w:rFonts w:ascii="Calibri" w:hAnsi="Calibri"/>
          <w:b/>
          <w:i w:val="0"/>
          <w:color w:val="1B2A32"/>
          <w:sz w:val="21"/>
        </w:rPr>
        <w:t>mubarat</w:t>
      </w:r>
      <w:r>
        <w:rPr>
          <w:rFonts w:ascii="Calibri" w:hAnsi="Calibri"/>
          <w:b w:val="0"/>
          <w:i w:val="0"/>
          <w:color w:val="1B2A32"/>
          <w:sz w:val="21"/>
        </w:rPr>
        <w:t>; and by judicial decree under the Dissolution of Muslim Marriages Act, 1939 on grounds available to the wife such as the husband's whereabouts being unknown, failure to maintain, cruelty, or specified disease. Instant triple talaq (talaq-e-biddat) was held unconstitutional and is now void and penal.</w:t>
      </w:r>
    </w:p>
    <w:p>
      <w:pPr>
        <w:spacing w:after="140"/>
        <w:jc w:val="both"/>
      </w:pPr>
      <w:r>
        <w:rPr>
          <w:rFonts w:ascii="Calibri" w:hAnsi="Calibri"/>
          <w:b w:val="0"/>
          <w:i w:val="0"/>
          <w:color w:val="1B2A32"/>
          <w:sz w:val="21"/>
        </w:rPr>
        <w:t xml:space="preserve">On the financial side, a divorced Muslim woman is entitled to maintenance during the </w:t>
      </w:r>
      <w:r>
        <w:rPr>
          <w:rFonts w:ascii="Calibri" w:hAnsi="Calibri"/>
          <w:b/>
          <w:i w:val="0"/>
          <w:color w:val="1B2A32"/>
          <w:sz w:val="21"/>
        </w:rPr>
        <w:t>iddat</w:t>
      </w:r>
      <w:r>
        <w:rPr>
          <w:rFonts w:ascii="Calibri" w:hAnsi="Calibri"/>
          <w:b w:val="0"/>
          <w:i w:val="0"/>
          <w:color w:val="1B2A32"/>
          <w:sz w:val="21"/>
        </w:rPr>
        <w:t xml:space="preserve"> period and, under the Muslim Women (Protection of Rights on Divorce) Act, 1986 as interpreted by the courts, to a </w:t>
      </w:r>
      <w:r>
        <w:rPr>
          <w:rFonts w:ascii="Calibri" w:hAnsi="Calibri"/>
          <w:b/>
          <w:i w:val="0"/>
          <w:color w:val="1B2A32"/>
          <w:sz w:val="21"/>
        </w:rPr>
        <w:t>reasonable and fair provision</w:t>
      </w:r>
      <w:r>
        <w:rPr>
          <w:rFonts w:ascii="Calibri" w:hAnsi="Calibri"/>
          <w:b w:val="0"/>
          <w:i w:val="0"/>
          <w:color w:val="1B2A32"/>
          <w:sz w:val="21"/>
        </w:rPr>
        <w:t xml:space="preserve"> for her future beyond iddat. The Supreme Court has confirmed that a divorced Muslim woman may also invoke the secular maintenance remedy. Custody follows the concept of </w:t>
      </w:r>
      <w:r>
        <w:rPr>
          <w:rFonts w:ascii="Calibri" w:hAnsi="Calibri"/>
          <w:b/>
          <w:i w:val="0"/>
          <w:color w:val="1B2A32"/>
          <w:sz w:val="21"/>
        </w:rPr>
        <w:t>hizanat</w:t>
      </w:r>
      <w:r>
        <w:rPr>
          <w:rFonts w:ascii="Calibri" w:hAnsi="Calibri"/>
          <w:b w:val="0"/>
          <w:i w:val="0"/>
          <w:color w:val="1B2A32"/>
          <w:sz w:val="21"/>
        </w:rPr>
        <w:t>, the mother's right to custody of young children, always subject to the child's welfare.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Sources: Shariat Application Act 1937; Dissolution of Muslim Marriages Act 1939; Muslim Women (Protection of Rights on Divorce) Act 1986; Muslim Women (Protection of Rights on Marriage) Act 2019 (triple talaq void and punishable, up to 3 years). Key cases: </w:t>
            </w:r>
            <w:r>
              <w:rPr>
                <w:rFonts w:ascii="Calibri" w:hAnsi="Calibri"/>
                <w:b/>
                <w:i w:val="0"/>
                <w:color w:val="1B2A32"/>
                <w:sz w:val="20"/>
              </w:rPr>
              <w:t>Shayara Bano v. Union of India, (2017) 9 SCC 1</w:t>
            </w:r>
            <w:r>
              <w:rPr>
                <w:rFonts w:ascii="Calibri" w:hAnsi="Calibri"/>
                <w:b w:val="0"/>
                <w:i w:val="0"/>
                <w:color w:val="1B2A32"/>
                <w:sz w:val="20"/>
              </w:rPr>
              <w:t xml:space="preserve"> (triple talaq unconstitutional); </w:t>
            </w:r>
            <w:r>
              <w:rPr>
                <w:rFonts w:ascii="Calibri" w:hAnsi="Calibri"/>
                <w:b/>
                <w:i w:val="0"/>
                <w:color w:val="1B2A32"/>
                <w:sz w:val="20"/>
              </w:rPr>
              <w:t>Danial Latifi v. Union of India, (2001) 7 SCC 740</w:t>
            </w:r>
            <w:r>
              <w:rPr>
                <w:rFonts w:ascii="Calibri" w:hAnsi="Calibri"/>
                <w:b w:val="0"/>
                <w:i w:val="0"/>
                <w:color w:val="1B2A32"/>
                <w:sz w:val="20"/>
              </w:rPr>
              <w:t xml:space="preserve"> (fair provision beyond iddat); </w:t>
            </w:r>
            <w:r>
              <w:rPr>
                <w:rFonts w:ascii="Calibri" w:hAnsi="Calibri"/>
                <w:b/>
                <w:i w:val="0"/>
                <w:color w:val="1B2A32"/>
                <w:sz w:val="20"/>
              </w:rPr>
              <w:t>Mohd. Abdul Samad v. State of Telangana, 2024 INSC 506</w:t>
            </w:r>
            <w:r>
              <w:rPr>
                <w:rFonts w:ascii="Calibri" w:hAnsi="Calibri"/>
                <w:b w:val="0"/>
                <w:i w:val="0"/>
                <w:color w:val="1B2A32"/>
                <w:sz w:val="20"/>
              </w:rPr>
              <w:t xml:space="preserve"> (divorced Muslim woman may claim maintenance under the secular provision).</w:t>
            </w:r>
          </w:p>
        </w:tc>
      </w:tr>
    </w:tbl>
    <w:p>
      <w:pPr>
        <w:spacing w:after="120"/>
      </w:pPr>
    </w:p>
    <w:p>
      <w:pPr>
        <w:keepNext/>
        <w:spacing w:before="220" w:after="80"/>
      </w:pPr>
      <w:r>
        <w:rPr>
          <w:rFonts w:ascii="Calibri" w:hAnsi="Calibri"/>
          <w:b/>
          <w:i w:val="0"/>
          <w:color w:val="1E7A8C"/>
          <w:sz w:val="26"/>
        </w:rPr>
        <w:t>6.4   Christian Law — Christian Marriage Act, 1872 &amp; Divorce Act, 1869</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Christians marry under the 1872 Act and divorce under the Divorce Act, 1869. Fault grounds include adultery, cruelty and desertion; </w:t>
            </w:r>
            <w:r>
              <w:rPr>
                <w:rFonts w:ascii="Calibri" w:hAnsi="Calibri"/>
                <w:b/>
                <w:i w:val="0"/>
                <w:color w:val="1B2A32"/>
                <w:sz w:val="20"/>
              </w:rPr>
              <w:t>mutual-consent divorce (s.10A)</w:t>
            </w:r>
            <w:r>
              <w:rPr>
                <w:rFonts w:ascii="Calibri" w:hAnsi="Calibri"/>
                <w:b w:val="0"/>
                <w:i w:val="0"/>
                <w:color w:val="1B2A32"/>
                <w:sz w:val="20"/>
              </w:rPr>
              <w:t xml:space="preserve"> requires the couple to have lived apart for </w:t>
            </w:r>
            <w:r>
              <w:rPr>
                <w:rFonts w:ascii="Calibri" w:hAnsi="Calibri"/>
                <w:b/>
                <w:i w:val="0"/>
                <w:color w:val="1B2A32"/>
                <w:sz w:val="20"/>
              </w:rPr>
              <w:t>two years</w:t>
            </w:r>
            <w:r>
              <w:rPr>
                <w:rFonts w:ascii="Calibri" w:hAnsi="Calibri"/>
                <w:b w:val="0"/>
                <w:i w:val="0"/>
                <w:color w:val="1B2A32"/>
                <w:sz w:val="20"/>
              </w:rPr>
              <w:t xml:space="preserve"> — longer than the one year under Hindu and Special Marriage law.</w:t>
            </w:r>
          </w:p>
        </w:tc>
      </w:tr>
    </w:tbl>
    <w:p>
      <w:pPr>
        <w:spacing w:after="120"/>
      </w:pPr>
    </w:p>
    <w:p>
      <w:pPr>
        <w:spacing w:after="140"/>
        <w:jc w:val="both"/>
      </w:pPr>
      <w:r>
        <w:rPr>
          <w:rFonts w:ascii="Calibri" w:hAnsi="Calibri"/>
          <w:b w:val="0"/>
          <w:i w:val="0"/>
          <w:color w:val="1B2A32"/>
          <w:sz w:val="21"/>
        </w:rPr>
        <w:t>The Divorce Act, 1869 governs the dissolution of Christian marriages. Section 10 lists the fault grounds — adultery, conversion, unsoundness of mind, communicable disease, presumed death, wilful refusal to consummate, desertion for at least two years and cruelty. Section 10A, introduced by amendment, provides divorce by mutual consent where the parties have lived separately for two years or more and agree that the marriage should be dissolved. Provisions on custody and on alimony and maintenance round out the statute. The longer two-year separation requirement is a material timing difference that Equator's intake and settlement-drafting logic must reflect for Christian couples.</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Divorce Act 1869: s.10 (grounds), s.10A (mutual consent, 2-year separation), ss.36–37 (alimony), ss.41–44 (custody). Solemnisation under the Indian Christian Marriage Act, 1872.</w:t>
            </w:r>
          </w:p>
        </w:tc>
      </w:tr>
    </w:tbl>
    <w:p>
      <w:pPr>
        <w:spacing w:after="120"/>
      </w:pPr>
    </w:p>
    <w:p>
      <w:pPr>
        <w:keepNext/>
        <w:spacing w:before="220" w:after="80"/>
      </w:pPr>
      <w:r>
        <w:rPr>
          <w:rFonts w:ascii="Calibri" w:hAnsi="Calibri"/>
          <w:b/>
          <w:i w:val="0"/>
          <w:color w:val="1E7A8C"/>
          <w:sz w:val="26"/>
        </w:rPr>
        <w:t>6.5   Parsi Law — Parsi Marriage and Divorce Act, 1936</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Parsis have their own matrimonial statute, uniquely tried before </w:t>
            </w:r>
            <w:r>
              <w:rPr>
                <w:rFonts w:ascii="Calibri" w:hAnsi="Calibri"/>
                <w:b/>
                <w:i w:val="0"/>
                <w:color w:val="1B2A32"/>
                <w:sz w:val="20"/>
              </w:rPr>
              <w:t>Parsi Matrimonial Courts</w:t>
            </w:r>
            <w:r>
              <w:rPr>
                <w:rFonts w:ascii="Calibri" w:hAnsi="Calibri"/>
                <w:b w:val="0"/>
                <w:i w:val="0"/>
                <w:color w:val="1B2A32"/>
                <w:sz w:val="20"/>
              </w:rPr>
              <w:t xml:space="preserve"> that sit with lay 'delegates'. Grounds for divorce are set out in the Act; mutual-consent divorce (s.32B) requires one year of living apart.</w:t>
            </w:r>
          </w:p>
        </w:tc>
      </w:tr>
    </w:tbl>
    <w:p>
      <w:pPr>
        <w:spacing w:after="120"/>
      </w:pPr>
    </w:p>
    <w:p>
      <w:pPr>
        <w:spacing w:after="140"/>
        <w:jc w:val="both"/>
      </w:pPr>
      <w:r>
        <w:rPr>
          <w:rFonts w:ascii="Calibri" w:hAnsi="Calibri"/>
          <w:b w:val="0"/>
          <w:i w:val="0"/>
          <w:color w:val="1B2A32"/>
          <w:sz w:val="21"/>
        </w:rPr>
        <w:t>The Parsi Marriage and Divorce Act, 1936 constitutes special Parsi Matrimonial Courts, with delegates drawn from the community assisting the judge. Section 32 enumerates grounds for divorce (including non-consummation, unsoundness of mind, adultery, cruelty, desertion and conversion), Section 32B provides divorce by mutual consent on one year's separation, Section 40 addresses permanent alimony, and Section 49 addresses custody. The community-court structure means Equator's role is to produce a settlement the Parsi Matrimonial Court can adopt.</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Parsi Marriage and Divorce Act 1936: s.32 (grounds), s.32B (mutual consent), s.40 (alimony), s.49 (custody); adjudication before Parsi Matrimonial Courts with delegates.</w:t>
            </w:r>
          </w:p>
        </w:tc>
      </w:tr>
    </w:tbl>
    <w:p>
      <w:pPr>
        <w:spacing w:after="120"/>
      </w:pPr>
    </w:p>
    <w:p>
      <w:pPr>
        <w:keepNext/>
        <w:spacing w:before="220" w:after="80"/>
      </w:pPr>
      <w:r>
        <w:rPr>
          <w:rFonts w:ascii="Calibri" w:hAnsi="Calibri"/>
          <w:b/>
          <w:i w:val="0"/>
          <w:color w:val="1E7A8C"/>
          <w:sz w:val="26"/>
        </w:rPr>
        <w:t>6.6   Inter-caste Marriages</w:t>
      </w:r>
    </w:p>
    <w:p>
      <w:pPr>
        <w:spacing w:after="140"/>
        <w:jc w:val="both"/>
      </w:pPr>
      <w:r>
        <w:rPr>
          <w:rFonts w:ascii="Calibri" w:hAnsi="Calibri"/>
          <w:b w:val="0"/>
          <w:i w:val="0"/>
          <w:color w:val="1B2A32"/>
          <w:sz w:val="21"/>
        </w:rPr>
        <w:t xml:space="preserve">Inter-caste marriages between Hindus are valid under the Hindu Marriage Act and require no special solemnisation; where the parties additionally cross religious lines, the Special Marriage Act applies. The legal issues on breakdown are the ordinary HMA or SMA issues. What differs is the </w:t>
      </w:r>
      <w:r>
        <w:rPr>
          <w:rFonts w:ascii="Calibri" w:hAnsi="Calibri"/>
          <w:b/>
          <w:i w:val="0"/>
          <w:color w:val="1B2A32"/>
          <w:sz w:val="21"/>
        </w:rPr>
        <w:t>social risk profile</w:t>
      </w:r>
      <w:r>
        <w:rPr>
          <w:rFonts w:ascii="Calibri" w:hAnsi="Calibri"/>
          <w:b w:val="0"/>
          <w:i w:val="0"/>
          <w:color w:val="1B2A32"/>
          <w:sz w:val="21"/>
        </w:rPr>
        <w:t>: inter-caste couples more often face family estrangement, disputes over withheld streedhan or jewellery, and in some cases threats or coercion. Equator's mediators should be trained to detect relatives' influence on a party's stated position and to keep sessions strictly between the spouses unless both agree otherwise.</w:t>
      </w:r>
    </w:p>
    <w:p>
      <w:pPr>
        <w:keepNext/>
        <w:spacing w:before="220" w:after="80"/>
      </w:pPr>
      <w:r>
        <w:rPr>
          <w:rFonts w:ascii="Calibri" w:hAnsi="Calibri"/>
          <w:b/>
          <w:i w:val="0"/>
          <w:color w:val="1E7A8C"/>
          <w:sz w:val="26"/>
        </w:rPr>
        <w:t>6.7   NRI &amp; Overseas Marriages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When one or both spouses live abroad, the hard questions are </w:t>
            </w:r>
            <w:r>
              <w:rPr>
                <w:rFonts w:ascii="Calibri" w:hAnsi="Calibri"/>
                <w:b/>
                <w:i w:val="0"/>
                <w:color w:val="1B2A32"/>
                <w:sz w:val="20"/>
              </w:rPr>
              <w:t>which country's court has jurisdiction</w:t>
            </w:r>
            <w:r>
              <w:rPr>
                <w:rFonts w:ascii="Calibri" w:hAnsi="Calibri"/>
                <w:b w:val="0"/>
                <w:i w:val="0"/>
                <w:color w:val="1B2A32"/>
                <w:sz w:val="20"/>
              </w:rPr>
              <w:t xml:space="preserve">, whether a </w:t>
            </w:r>
            <w:r>
              <w:rPr>
                <w:rFonts w:ascii="Calibri" w:hAnsi="Calibri"/>
                <w:b/>
                <w:i w:val="0"/>
                <w:color w:val="1B2A32"/>
                <w:sz w:val="20"/>
              </w:rPr>
              <w:t>foreign divorce will be recognised in India</w:t>
            </w:r>
            <w:r>
              <w:rPr>
                <w:rFonts w:ascii="Calibri" w:hAnsi="Calibri"/>
                <w:b w:val="0"/>
                <w:i w:val="0"/>
                <w:color w:val="1B2A32"/>
                <w:sz w:val="20"/>
              </w:rPr>
              <w:t xml:space="preserve">, and how to </w:t>
            </w:r>
            <w:r>
              <w:rPr>
                <w:rFonts w:ascii="Calibri" w:hAnsi="Calibri"/>
                <w:b/>
                <w:i w:val="0"/>
                <w:color w:val="1B2A32"/>
                <w:sz w:val="20"/>
              </w:rPr>
              <w:t>serve notice</w:t>
            </w:r>
            <w:r>
              <w:rPr>
                <w:rFonts w:ascii="Calibri" w:hAnsi="Calibri"/>
                <w:b w:val="0"/>
                <w:i w:val="0"/>
                <w:color w:val="1B2A32"/>
                <w:sz w:val="20"/>
              </w:rPr>
              <w:t xml:space="preserve"> across borders. Online mediation is especially valuable here because it removes the need to travel. A settlement reached at Equator can be taken to the appropriate Indian court and, where relevant, aligned with foreign proceedings.</w:t>
            </w:r>
          </w:p>
        </w:tc>
      </w:tr>
    </w:tbl>
    <w:p>
      <w:pPr>
        <w:spacing w:after="120"/>
      </w:pPr>
    </w:p>
    <w:p>
      <w:pPr>
        <w:spacing w:after="140"/>
        <w:jc w:val="both"/>
      </w:pPr>
      <w:r>
        <w:rPr>
          <w:rFonts w:ascii="Calibri" w:hAnsi="Calibri"/>
          <w:b w:val="0"/>
          <w:i w:val="0"/>
          <w:color w:val="1B2A32"/>
          <w:sz w:val="21"/>
        </w:rPr>
        <w:t xml:space="preserve">Cross-border matrimonial disputes are among the most procedurally fraught. Indian courts will not automatically recognise a foreign divorce decree: the decree must satisfy the tests distilled by the Supreme Court — essentially, that the foreign court had jurisdiction on grounds Indian law accepts, that the decree was on the merits, and that both parties had a fair opportunity to be heard. Service of process on a spouse in India (or abroad) is a recurring choke-point, which pending reform proposes to ease through consular service and mandatory registration of NRI marriages. For Equator, the NRI segment is a strong fit for </w:t>
      </w:r>
      <w:r>
        <w:rPr>
          <w:rFonts w:ascii="Calibri" w:hAnsi="Calibri"/>
          <w:b/>
          <w:i w:val="0"/>
          <w:color w:val="1B2A32"/>
          <w:sz w:val="21"/>
        </w:rPr>
        <w:t>video-first mediation</w:t>
      </w:r>
      <w:r>
        <w:rPr>
          <w:rFonts w:ascii="Calibri" w:hAnsi="Calibri"/>
          <w:b w:val="0"/>
          <w:i w:val="0"/>
          <w:color w:val="1B2A32"/>
          <w:sz w:val="21"/>
        </w:rPr>
        <w:t>, with careful attention to time zones, identity verification, and the enforceability of the eventual settlement in each relevant jurisdiction.</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Foreign-decree recognition: </w:t>
            </w:r>
            <w:r>
              <w:rPr>
                <w:rFonts w:ascii="Calibri" w:hAnsi="Calibri"/>
                <w:b/>
                <w:i w:val="0"/>
                <w:color w:val="1B2A32"/>
                <w:sz w:val="20"/>
              </w:rPr>
              <w:t>Y. Narasimha Rao v. Y. Venkata Lakshmi, (1991) 3 SCC 451</w:t>
            </w:r>
            <w:r>
              <w:rPr>
                <w:rFonts w:ascii="Calibri" w:hAnsi="Calibri"/>
                <w:b w:val="0"/>
                <w:i w:val="0"/>
                <w:color w:val="1B2A32"/>
                <w:sz w:val="20"/>
              </w:rPr>
              <w:t xml:space="preserve"> (tests under s.13 CPC). Reform: the Registration of Marriage of Non-Resident Indian Bill (pending), with Law Commission recommendations to extend to OCI cardholders and to enable consular service of summons.</w:t>
            </w:r>
          </w:p>
        </w:tc>
      </w:tr>
    </w:tbl>
    <w:p>
      <w:pPr>
        <w:spacing w:after="120"/>
      </w:pPr>
    </w:p>
    <w:p>
      <w:pPr>
        <w:keepNext/>
        <w:spacing w:before="220" w:after="80"/>
      </w:pPr>
      <w:r>
        <w:rPr>
          <w:rFonts w:ascii="Calibri" w:hAnsi="Calibri"/>
          <w:b/>
          <w:i w:val="0"/>
          <w:color w:val="1E7A8C"/>
          <w:sz w:val="26"/>
        </w:rPr>
        <w:t>6.8   Comparative snapshot: grounds &amp; waiting periods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9"/>
              </w:rPr>
              <w:t>Regime</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9"/>
              </w:rPr>
              <w:t>Mutual-consent separation</w:t>
            </w:r>
          </w:p>
        </w:tc>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9"/>
              </w:rPr>
              <w:t>Notable features</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Hindu (HMA 1955)</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1 year</w:t>
            </w:r>
          </w:p>
        </w:tc>
        <w:tc>
          <w:tcPr>
            <w:tcW w:type="dxa" w:w="4752"/>
            <w:tcMar>
              <w:top w:w="60" w:type="dxa"/>
              <w:bottom w:w="60" w:type="dxa"/>
              <w:start w:w="110" w:type="dxa"/>
              <w:end w:w="110" w:type="dxa"/>
            </w:tcMar>
          </w:tcPr>
          <w:p>
            <w:pPr>
              <w:spacing w:after="0"/>
              <w:jc w:val="left"/>
            </w:pPr>
            <w:r>
              <w:rPr>
                <w:rFonts w:ascii="Calibri" w:hAnsi="Calibri"/>
                <w:b w:val="0"/>
                <w:i w:val="0"/>
                <w:color w:val="1B2A32"/>
                <w:sz w:val="19"/>
              </w:rPr>
              <w:t>6-month cooling-off (waivable, Amardeep Singh); fault grounds in s.13</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Special Marriage (1954)</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 year</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Inter-faith / civil; 30-day public-notice regime</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Christian (Divorce Act 1869)</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2 years</w:t>
            </w:r>
          </w:p>
        </w:tc>
        <w:tc>
          <w:tcPr>
            <w:tcW w:type="dxa" w:w="4752"/>
            <w:tcMar>
              <w:top w:w="60" w:type="dxa"/>
              <w:bottom w:w="60" w:type="dxa"/>
              <w:start w:w="110" w:type="dxa"/>
              <w:end w:w="110" w:type="dxa"/>
            </w:tcMar>
          </w:tcPr>
          <w:p>
            <w:pPr>
              <w:spacing w:after="0"/>
              <w:jc w:val="left"/>
            </w:pPr>
            <w:r>
              <w:rPr>
                <w:rFonts w:ascii="Calibri" w:hAnsi="Calibri"/>
                <w:b w:val="0"/>
                <w:i w:val="0"/>
                <w:color w:val="1B2A32"/>
                <w:sz w:val="19"/>
              </w:rPr>
              <w:t>Longer separation for mutual consent (s.10A)</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Parsi (1936)</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1 year</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9"/>
              </w:rPr>
              <w:t>Tried before Parsi Matrimonial Courts with delegates</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9"/>
              </w:rPr>
              <w:t>Muslim</w:t>
            </w:r>
          </w:p>
        </w:tc>
        <w:tc>
          <w:tcPr>
            <w:tcW w:type="dxa" w:w="2471"/>
            <w:tcMar>
              <w:top w:w="60" w:type="dxa"/>
              <w:bottom w:w="60" w:type="dxa"/>
              <w:start w:w="110" w:type="dxa"/>
              <w:end w:w="110" w:type="dxa"/>
            </w:tcMar>
          </w:tcPr>
          <w:p>
            <w:pPr>
              <w:spacing w:after="0"/>
              <w:jc w:val="left"/>
            </w:pPr>
            <w:r>
              <w:rPr>
                <w:rFonts w:ascii="Calibri" w:hAnsi="Calibri"/>
                <w:b w:val="0"/>
                <w:i w:val="0"/>
                <w:color w:val="1B2A32"/>
                <w:sz w:val="19"/>
              </w:rPr>
              <w:t>N/A (khula / mubarat)</w:t>
            </w:r>
          </w:p>
        </w:tc>
        <w:tc>
          <w:tcPr>
            <w:tcW w:type="dxa" w:w="4752"/>
            <w:tcMar>
              <w:top w:w="60" w:type="dxa"/>
              <w:bottom w:w="60" w:type="dxa"/>
              <w:start w:w="110" w:type="dxa"/>
              <w:end w:w="110" w:type="dxa"/>
            </w:tcMar>
          </w:tcPr>
          <w:p>
            <w:pPr>
              <w:spacing w:after="0"/>
              <w:jc w:val="left"/>
            </w:pPr>
            <w:r>
              <w:rPr>
                <w:rFonts w:ascii="Calibri" w:hAnsi="Calibri"/>
                <w:b w:val="0"/>
                <w:i w:val="0"/>
                <w:color w:val="1B2A32"/>
                <w:sz w:val="19"/>
              </w:rPr>
              <w:t>Contract-based; mahr; talaq / khula / faskh routes</w:t>
            </w:r>
          </w:p>
        </w:tc>
      </w:tr>
    </w:tbl>
    <w:p>
      <w:pPr>
        <w:spacing w:after="80"/>
      </w:pPr>
    </w:p>
    <w:p>
      <w:pPr>
        <w:spacing w:before="20" w:after="200"/>
        <w:jc w:val="center"/>
      </w:pPr>
      <w:r>
        <w:rPr>
          <w:rFonts w:ascii="Calibri" w:hAnsi="Calibri"/>
          <w:b w:val="0"/>
          <w:i/>
          <w:color w:val="556168"/>
          <w:sz w:val="17"/>
        </w:rPr>
        <w:t>Table — Cross-regime snapshot of the mutual-consent route (see the sub-sections above for detail).</w:t>
      </w:r>
    </w:p>
    <w:p>
      <w:pPr>
        <w:keepNext/>
        <w:spacing w:before="220" w:after="80"/>
      </w:pPr>
      <w:r>
        <w:rPr>
          <w:rFonts w:ascii="Calibri" w:hAnsi="Calibri"/>
          <w:b/>
          <w:i w:val="0"/>
          <w:color w:val="1E7A8C"/>
          <w:sz w:val="26"/>
        </w:rPr>
        <w:t>6.9   Regional &amp; customary variations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personal laws above are the national baseline, but a few regional exceptions genuinely change the analysis. Intake must therefore capture the couple's </w:t>
            </w:r>
            <w:r>
              <w:rPr>
                <w:rFonts w:ascii="Calibri" w:hAnsi="Calibri"/>
                <w:b/>
                <w:i w:val="0"/>
                <w:color w:val="1B2A32"/>
                <w:sz w:val="20"/>
              </w:rPr>
              <w:t>state and community</w:t>
            </w:r>
            <w:r>
              <w:rPr>
                <w:rFonts w:ascii="Calibri" w:hAnsi="Calibri"/>
                <w:b w:val="0"/>
                <w:i w:val="0"/>
                <w:color w:val="1B2A32"/>
                <w:sz w:val="20"/>
              </w:rPr>
              <w:t>, not just their religion.</w:t>
            </w:r>
          </w:p>
        </w:tc>
      </w:tr>
    </w:tbl>
    <w:p>
      <w:pPr>
        <w:spacing w:after="120"/>
      </w:pPr>
    </w:p>
    <w:p>
      <w:pPr>
        <w:spacing w:after="140"/>
        <w:jc w:val="both"/>
      </w:pPr>
      <w:r>
        <w:rPr>
          <w:rFonts w:ascii="Calibri" w:hAnsi="Calibri"/>
          <w:b w:val="0"/>
          <w:i w:val="0"/>
          <w:color w:val="1B2A32"/>
          <w:sz w:val="21"/>
        </w:rPr>
        <w:t xml:space="preserve">Three variations matter in practice. </w:t>
      </w:r>
      <w:r>
        <w:rPr>
          <w:rFonts w:ascii="Calibri" w:hAnsi="Calibri"/>
          <w:b/>
          <w:i w:val="0"/>
          <w:color w:val="1B2A32"/>
          <w:sz w:val="21"/>
        </w:rPr>
        <w:t>Goa</w:t>
      </w:r>
      <w:r>
        <w:rPr>
          <w:rFonts w:ascii="Calibri" w:hAnsi="Calibri"/>
          <w:b w:val="0"/>
          <w:i w:val="0"/>
          <w:color w:val="1B2A32"/>
          <w:sz w:val="21"/>
        </w:rPr>
        <w:t xml:space="preserve"> operates a uniform civil code (derived from the Portuguese Civil Code of 1867) that applies to all Goans regardless of religion and, unusually for India, provides for a </w:t>
      </w:r>
      <w:r>
        <w:rPr>
          <w:rFonts w:ascii="Calibri" w:hAnsi="Calibri"/>
          <w:b/>
          <w:i w:val="0"/>
          <w:color w:val="1B2A32"/>
          <w:sz w:val="21"/>
        </w:rPr>
        <w:t>community-of-property</w:t>
      </w:r>
      <w:r>
        <w:rPr>
          <w:rFonts w:ascii="Calibri" w:hAnsi="Calibri"/>
          <w:b w:val="0"/>
          <w:i w:val="0"/>
          <w:color w:val="1B2A32"/>
          <w:sz w:val="21"/>
        </w:rPr>
        <w:t xml:space="preserve"> regime, so the division of matrimonial assets in Goa follows different principles from the rest of the country. </w:t>
      </w:r>
      <w:r>
        <w:rPr>
          <w:rFonts w:ascii="Calibri" w:hAnsi="Calibri"/>
          <w:b/>
          <w:i w:val="0"/>
          <w:color w:val="1B2A32"/>
          <w:sz w:val="21"/>
        </w:rPr>
        <w:t>Scheduled Tribes</w:t>
      </w:r>
      <w:r>
        <w:rPr>
          <w:rFonts w:ascii="Calibri" w:hAnsi="Calibri"/>
          <w:b w:val="0"/>
          <w:i w:val="0"/>
          <w:color w:val="1B2A32"/>
          <w:sz w:val="21"/>
        </w:rPr>
        <w:t xml:space="preserve"> may be governed by their own customary law: the Hindu Marriage Act does not automatically apply to members of Scheduled Tribes unless notified, and customary marriage and divorce practices — recognised in several North-Eastern states, with constitutional protection for customary law in states such as Nagaland — can govern instead. And because </w:t>
      </w:r>
      <w:r>
        <w:rPr>
          <w:rFonts w:ascii="Calibri" w:hAnsi="Calibri"/>
          <w:b/>
          <w:i w:val="0"/>
          <w:color w:val="1B2A32"/>
          <w:sz w:val="21"/>
        </w:rPr>
        <w:t>marriage registration and some procedural rules are administered at the state level</w:t>
      </w:r>
      <w:r>
        <w:rPr>
          <w:rFonts w:ascii="Calibri" w:hAnsi="Calibri"/>
          <w:b w:val="0"/>
          <w:i w:val="0"/>
          <w:color w:val="1B2A32"/>
          <w:sz w:val="21"/>
        </w:rPr>
        <w:t>, local registration requirements and any state amendments should be checked. Equator's taxonomy flags Goa and tribal/customary matters for specialist handling.</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Goa: the Goa Civil Code (Portuguese Civil Code, 1867), a uniform code with community-of-property. Tribal: HMA s.2(2) (Act does not apply to Scheduled Tribes unless notified); customary law preserved, e.g., under Article 371A (Nagaland) and related provisions. Registration and certain amendments are state-specific.</w:t>
            </w:r>
          </w:p>
        </w:tc>
      </w:tr>
    </w:tbl>
    <w:p>
      <w:pPr>
        <w:spacing w:after="120"/>
      </w:pPr>
    </w:p>
    <w:p>
      <w:pPr>
        <w:keepNext/>
        <w:spacing w:before="220" w:after="80"/>
      </w:pPr>
      <w:r>
        <w:rPr>
          <w:rFonts w:ascii="Calibri" w:hAnsi="Calibri"/>
          <w:b/>
          <w:i w:val="0"/>
          <w:color w:val="1E7A8C"/>
          <w:sz w:val="26"/>
        </w:rPr>
        <w:t>6.10   Gender, live-in &amp; non-traditional relationships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Not every couple who needs to resolve a dispute is a married heterosexual pair. Live-in partners, transgender persons and same-sex couples may all have real disputes — over money, property, children or cohabitation — and Equator serves them with dignity and neutrality, within what the law currently allows.</w:t>
            </w:r>
          </w:p>
        </w:tc>
      </w:tr>
    </w:tbl>
    <w:p>
      <w:pPr>
        <w:spacing w:after="120"/>
      </w:pPr>
    </w:p>
    <w:p>
      <w:pPr>
        <w:spacing w:after="140"/>
        <w:jc w:val="both"/>
      </w:pPr>
      <w:r>
        <w:rPr>
          <w:rFonts w:ascii="Calibri" w:hAnsi="Calibri"/>
          <w:b w:val="0"/>
          <w:i w:val="0"/>
          <w:color w:val="1B2A32"/>
          <w:sz w:val="21"/>
        </w:rPr>
        <w:t xml:space="preserve">A </w:t>
      </w:r>
      <w:r>
        <w:rPr>
          <w:rFonts w:ascii="Calibri" w:hAnsi="Calibri"/>
          <w:b/>
          <w:i w:val="0"/>
          <w:color w:val="1B2A32"/>
          <w:sz w:val="21"/>
        </w:rPr>
        <w:t>live-in relationship 'in the nature of marriage'</w:t>
      </w:r>
      <w:r>
        <w:rPr>
          <w:rFonts w:ascii="Calibri" w:hAnsi="Calibri"/>
          <w:b w:val="0"/>
          <w:i w:val="0"/>
          <w:color w:val="1B2A32"/>
          <w:sz w:val="21"/>
        </w:rPr>
        <w:t xml:space="preserve"> attracts the protection of the domestic-violence law, and a partner may seek protection, residence and monetary relief; the legitimacy and maintenance of children of such relationships are also recognised. </w:t>
      </w:r>
      <w:r>
        <w:rPr>
          <w:rFonts w:ascii="Calibri" w:hAnsi="Calibri"/>
          <w:b/>
          <w:i w:val="0"/>
          <w:color w:val="1B2A32"/>
          <w:sz w:val="21"/>
        </w:rPr>
        <w:t>Transgender persons</w:t>
      </w:r>
      <w:r>
        <w:rPr>
          <w:rFonts w:ascii="Calibri" w:hAnsi="Calibri"/>
          <w:b w:val="0"/>
          <w:i w:val="0"/>
          <w:color w:val="1B2A32"/>
          <w:sz w:val="21"/>
        </w:rPr>
        <w:t xml:space="preserve"> have a legally affirmed right to identity and dignity, and disputes involving a transgender party are handled without discrimination. On </w:t>
      </w:r>
      <w:r>
        <w:rPr>
          <w:rFonts w:ascii="Calibri" w:hAnsi="Calibri"/>
          <w:b/>
          <w:i w:val="0"/>
          <w:color w:val="1B2A32"/>
          <w:sz w:val="21"/>
        </w:rPr>
        <w:t>same-sex couples</w:t>
      </w:r>
      <w:r>
        <w:rPr>
          <w:rFonts w:ascii="Calibri" w:hAnsi="Calibri"/>
          <w:b w:val="0"/>
          <w:i w:val="0"/>
          <w:color w:val="1B2A32"/>
          <w:sz w:val="21"/>
        </w:rPr>
        <w:t xml:space="preserve">, the Supreme Court has held that the recognition of same-sex marriage is a matter for the legislature rather than the courts, so such couples cannot at present marry or divorce under the matrimonial statutes; nonetheless, the </w:t>
      </w:r>
      <w:r>
        <w:rPr>
          <w:rFonts w:ascii="Calibri" w:hAnsi="Calibri"/>
          <w:b/>
          <w:i w:val="0"/>
          <w:color w:val="1B2A32"/>
          <w:sz w:val="21"/>
        </w:rPr>
        <w:t>civil disputes</w:t>
      </w:r>
      <w:r>
        <w:rPr>
          <w:rFonts w:ascii="Calibri" w:hAnsi="Calibri"/>
          <w:b w:val="0"/>
          <w:i w:val="0"/>
          <w:color w:val="1B2A32"/>
          <w:sz w:val="21"/>
        </w:rPr>
        <w:t xml:space="preserve"> they may have — over jointly held property, shared finances, or the care of a child — are ordinary civil matters that can be mediated and settled. Equator's role is to mediate what the law permits to be settled, neutrally and respectfully, and to be candid about the limits the current law sets on marital status.</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Live-in: PWDVA covers relationships 'in the nature of marriage' (</w:t>
            </w:r>
            <w:r>
              <w:rPr>
                <w:rFonts w:ascii="Calibri" w:hAnsi="Calibri"/>
                <w:b/>
                <w:i w:val="0"/>
                <w:color w:val="1B2A32"/>
                <w:sz w:val="20"/>
              </w:rPr>
              <w:t>D. Velusamy v. D. Patchaiammal, (2010) 10 SCC 469</w:t>
            </w:r>
            <w:r>
              <w:rPr>
                <w:rFonts w:ascii="Calibri" w:hAnsi="Calibri"/>
                <w:b w:val="0"/>
                <w:i w:val="0"/>
                <w:color w:val="1B2A32"/>
                <w:sz w:val="20"/>
              </w:rPr>
              <w:t xml:space="preserve">). Transgender rights: </w:t>
            </w:r>
            <w:r>
              <w:rPr>
                <w:rFonts w:ascii="Calibri" w:hAnsi="Calibri"/>
                <w:b/>
                <w:i w:val="0"/>
                <w:color w:val="1B2A32"/>
                <w:sz w:val="20"/>
              </w:rPr>
              <w:t>NALSA v. Union of India, (2014) 5 SCC 438</w:t>
            </w:r>
            <w:r>
              <w:rPr>
                <w:rFonts w:ascii="Calibri" w:hAnsi="Calibri"/>
                <w:b w:val="0"/>
                <w:i w:val="0"/>
                <w:color w:val="1B2A32"/>
                <w:sz w:val="20"/>
              </w:rPr>
              <w:t xml:space="preserve">; Transgender Persons (Protection of Rights) Act, 2019. Same-sex marriage: </w:t>
            </w:r>
            <w:r>
              <w:rPr>
                <w:rFonts w:ascii="Calibri" w:hAnsi="Calibri"/>
                <w:b/>
                <w:i w:val="0"/>
                <w:color w:val="1B2A32"/>
                <w:sz w:val="20"/>
              </w:rPr>
              <w:t>Supriyo @ Supriya Chakraborty v. Union of India, 2023 INSC 920</w:t>
            </w:r>
            <w:r>
              <w:rPr>
                <w:rFonts w:ascii="Calibri" w:hAnsi="Calibri"/>
                <w:b w:val="0"/>
                <w:i w:val="0"/>
                <w:color w:val="1B2A32"/>
                <w:sz w:val="20"/>
              </w:rPr>
              <w:t xml:space="preserve"> (recognition left to the legislature).</w:t>
            </w:r>
          </w:p>
        </w:tc>
      </w:tr>
    </w:tbl>
    <w:p>
      <w:pPr>
        <w:spacing w:after="120"/>
      </w:pPr>
    </w:p>
    <w:p>
      <w:pPr>
        <w:keepNext/>
        <w:spacing w:before="320" w:after="140"/>
        <w:pBdr>
          <w:bottom w:val="single" w:sz="12" w:space="3" w:color="C6A15B"/>
        </w:pBdr>
      </w:pPr>
      <w:r>
        <w:rPr>
          <w:rFonts w:ascii="Calibri" w:hAnsi="Calibri"/>
          <w:b/>
          <w:i w:val="0"/>
          <w:color w:val="123B4F"/>
          <w:sz w:val="34"/>
        </w:rPr>
        <w:t>7.  Substantive Issue Areas</w:t>
      </w:r>
    </w:p>
    <w:p>
      <w:pPr>
        <w:spacing w:after="140"/>
        <w:jc w:val="both"/>
      </w:pPr>
      <w:r>
        <w:rPr>
          <w:rFonts w:ascii="Calibri" w:hAnsi="Calibri"/>
          <w:b w:val="0"/>
          <w:i w:val="0"/>
          <w:color w:val="1B2A32"/>
          <w:sz w:val="21"/>
        </w:rPr>
        <w:t xml:space="preserve">The following issue areas recur across every marriage regime. For each, the Practical Summary states the essence, the analysis explains the law, and the Legal Basis box cites the governing provisions and leading authorities. These are the areas the Dispute Explorer surfaces as selectable </w:t>
      </w:r>
      <w:r>
        <w:rPr>
          <w:rFonts w:ascii="Calibri" w:hAnsi="Calibri"/>
          <w:b/>
          <w:i w:val="0"/>
          <w:color w:val="1B2A32"/>
          <w:sz w:val="21"/>
        </w:rPr>
        <w:t>issues</w:t>
      </w:r>
      <w:r>
        <w:rPr>
          <w:rFonts w:ascii="Calibri" w:hAnsi="Calibri"/>
          <w:b w:val="0"/>
          <w:i w:val="0"/>
          <w:color w:val="1B2A32"/>
          <w:sz w:val="21"/>
        </w:rPr>
        <w:t xml:space="preserve"> at intake (Part C, Section 10).</w:t>
      </w:r>
    </w:p>
    <w:p>
      <w:pPr>
        <w:keepNext/>
        <w:spacing w:before="220" w:after="80"/>
      </w:pPr>
      <w:r>
        <w:rPr>
          <w:rFonts w:ascii="Calibri" w:hAnsi="Calibri"/>
          <w:b/>
          <w:i w:val="0"/>
          <w:color w:val="1E7A8C"/>
          <w:sz w:val="26"/>
        </w:rPr>
        <w:t>7.1   Divorce &amp; Dissolution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Two paths: </w:t>
            </w:r>
            <w:r>
              <w:rPr>
                <w:rFonts w:ascii="Calibri" w:hAnsi="Calibri"/>
                <w:b/>
                <w:i w:val="0"/>
                <w:color w:val="1B2A32"/>
                <w:sz w:val="20"/>
              </w:rPr>
              <w:t>mutual consent</w:t>
            </w:r>
            <w:r>
              <w:rPr>
                <w:rFonts w:ascii="Calibri" w:hAnsi="Calibri"/>
                <w:b w:val="0"/>
                <w:i w:val="0"/>
                <w:color w:val="1B2A32"/>
                <w:sz w:val="20"/>
              </w:rPr>
              <w:t xml:space="preserve"> (both agree to end the marriage and to terms) and </w:t>
            </w:r>
            <w:r>
              <w:rPr>
                <w:rFonts w:ascii="Calibri" w:hAnsi="Calibri"/>
                <w:b/>
                <w:i w:val="0"/>
                <w:color w:val="1B2A32"/>
                <w:sz w:val="20"/>
              </w:rPr>
              <w:t>contested</w:t>
            </w:r>
            <w:r>
              <w:rPr>
                <w:rFonts w:ascii="Calibri" w:hAnsi="Calibri"/>
                <w:b w:val="0"/>
                <w:i w:val="0"/>
                <w:color w:val="1B2A32"/>
                <w:sz w:val="20"/>
              </w:rPr>
              <w:t xml:space="preserve"> (one party proves a fault ground). Mediation almost always aims to convert a matter into the mutual-consent path, because that is faster, cheaper and less scarring. A dead marriage can also be ended on </w:t>
            </w:r>
            <w:r>
              <w:rPr>
                <w:rFonts w:ascii="Calibri" w:hAnsi="Calibri"/>
                <w:b/>
                <w:i w:val="0"/>
                <w:color w:val="1B2A32"/>
                <w:sz w:val="20"/>
              </w:rPr>
              <w:t>irretrievable breakdown</w:t>
            </w:r>
            <w:r>
              <w:rPr>
                <w:rFonts w:ascii="Calibri" w:hAnsi="Calibri"/>
                <w:b w:val="0"/>
                <w:i w:val="0"/>
                <w:color w:val="1B2A32"/>
                <w:sz w:val="20"/>
              </w:rPr>
              <w:t xml:space="preserve"> by the Supreme Court.</w:t>
            </w:r>
          </w:p>
        </w:tc>
      </w:tr>
    </w:tbl>
    <w:p>
      <w:pPr>
        <w:spacing w:after="120"/>
      </w:pPr>
    </w:p>
    <w:p>
      <w:pPr>
        <w:spacing w:after="140"/>
        <w:jc w:val="both"/>
      </w:pPr>
      <w:r>
        <w:rPr>
          <w:rFonts w:ascii="Calibri" w:hAnsi="Calibri"/>
          <w:b w:val="0"/>
          <w:i w:val="0"/>
          <w:color w:val="1B2A32"/>
          <w:sz w:val="21"/>
        </w:rPr>
        <w:t xml:space="preserve">Mutual-consent dissolution is the mediation destination of choice. Across regimes it requires a defined period of living apart (one year under Hindu, Special Marriage and Parsi law; two years under Christian law) and a genuine, free agreement to part. The mechanics differ in detail but share a two-step shape: a first joint motion, a reflective interval, and a second motion confirming the decision, at which the decree issues. The reflective interval — the six-month cooling-off under Hindu law being the best known — is </w:t>
      </w:r>
      <w:r>
        <w:rPr>
          <w:rFonts w:ascii="Calibri" w:hAnsi="Calibri"/>
          <w:b/>
          <w:i w:val="0"/>
          <w:color w:val="1B2A32"/>
          <w:sz w:val="21"/>
        </w:rPr>
        <w:t>waivable</w:t>
      </w:r>
      <w:r>
        <w:rPr>
          <w:rFonts w:ascii="Calibri" w:hAnsi="Calibri"/>
          <w:b w:val="0"/>
          <w:i w:val="0"/>
          <w:color w:val="1B2A32"/>
          <w:sz w:val="21"/>
        </w:rPr>
        <w:t xml:space="preserve"> by the court where the parties have long lived apart and have settled everything, a principle Equator's drafting is designed to unlock. Contested divorce turns on proof of a statutory fault; because proof is adversarial and slow, mediation reframes the dispute away from blame and toward terms, so that a contested petition can be </w:t>
      </w:r>
      <w:r>
        <w:rPr>
          <w:rFonts w:ascii="Calibri" w:hAnsi="Calibri"/>
          <w:b/>
          <w:i w:val="0"/>
          <w:color w:val="1B2A32"/>
          <w:sz w:val="21"/>
        </w:rPr>
        <w:t>withdrawn and re-presented as a joint one</w:t>
      </w:r>
      <w:r>
        <w:rPr>
          <w:rFonts w:ascii="Calibri" w:hAnsi="Calibri"/>
          <w:b w:val="0"/>
          <w:i w:val="0"/>
          <w:color w:val="1B2A32"/>
          <w:sz w:val="21"/>
        </w:rPr>
        <w:t>. Where a marriage is truly dead but the technical grounds are awkward, the Supreme Court's power to dissolve on irretrievable breakdown provides a settlement-friendly exit.</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Mutual consent: HMA s.13B; SMA s.28; Divorce Act s.10A; Parsi Act s.32B; Khula/Mubarat under Muslim law. Cooling-off waiver: </w:t>
            </w:r>
            <w:r>
              <w:rPr>
                <w:rFonts w:ascii="Calibri" w:hAnsi="Calibri"/>
                <w:b/>
                <w:i w:val="0"/>
                <w:color w:val="1B2A32"/>
                <w:sz w:val="20"/>
              </w:rPr>
              <w:t>Amardeep Singh v. Harveen Kaur (2017) 8 SCC 746</w:t>
            </w:r>
            <w:r>
              <w:rPr>
                <w:rFonts w:ascii="Calibri" w:hAnsi="Calibri"/>
                <w:b w:val="0"/>
                <w:i w:val="0"/>
                <w:color w:val="1B2A32"/>
                <w:sz w:val="20"/>
              </w:rPr>
              <w:t xml:space="preserve">. Irretrievable breakdown: </w:t>
            </w:r>
            <w:r>
              <w:rPr>
                <w:rFonts w:ascii="Calibri" w:hAnsi="Calibri"/>
                <w:b/>
                <w:i w:val="0"/>
                <w:color w:val="1B2A32"/>
                <w:sz w:val="20"/>
              </w:rPr>
              <w:t>Shilpa Sailesh v. Varun Sreenivasan, 2023 INSC 468</w:t>
            </w:r>
            <w:r>
              <w:rPr>
                <w:rFonts w:ascii="Calibri" w:hAnsi="Calibri"/>
                <w:b w:val="0"/>
                <w:i w:val="0"/>
                <w:color w:val="1B2A32"/>
                <w:sz w:val="20"/>
              </w:rPr>
              <w:t>. Duty to attempt reconciliation: HMA s.23(2); Family Courts Act 1984 s.9.</w:t>
            </w:r>
          </w:p>
        </w:tc>
      </w:tr>
    </w:tbl>
    <w:p>
      <w:pPr>
        <w:spacing w:after="120"/>
      </w:pPr>
    </w:p>
    <w:p>
      <w:pPr>
        <w:keepNext/>
        <w:spacing w:before="220" w:after="80"/>
      </w:pPr>
      <w:r>
        <w:rPr>
          <w:rFonts w:ascii="Calibri" w:hAnsi="Calibri"/>
          <w:b/>
          <w:i w:val="0"/>
          <w:color w:val="1E7A8C"/>
          <w:sz w:val="26"/>
        </w:rPr>
        <w:t>7.2   Judicial Separation &amp; Restitution of Conjugal Rights</w:t>
      </w:r>
    </w:p>
    <w:p>
      <w:pPr>
        <w:spacing w:after="140"/>
        <w:jc w:val="both"/>
      </w:pPr>
      <w:r>
        <w:rPr>
          <w:rFonts w:ascii="Calibri" w:hAnsi="Calibri"/>
          <w:b w:val="0"/>
          <w:i w:val="0"/>
          <w:color w:val="1B2A32"/>
          <w:sz w:val="21"/>
        </w:rPr>
        <w:t xml:space="preserve">Not every couple that comes to mediation wants a divorce. Judicial separation (HMA s.10 and its analogues) lets spouses live apart with defined rights and duties while leaving the marriage intact — useful where religion, children or reconciliation hopes counsel against dissolution. Restitution of conjugal rights (HMA s.9) is the mirror remedy, seeking a spouse's return. Both are frequently </w:t>
      </w:r>
      <w:r>
        <w:rPr>
          <w:rFonts w:ascii="Calibri" w:hAnsi="Calibri"/>
          <w:b/>
          <w:i w:val="0"/>
          <w:color w:val="1B2A32"/>
          <w:sz w:val="21"/>
        </w:rPr>
        <w:t>bargaining positions</w:t>
      </w:r>
      <w:r>
        <w:rPr>
          <w:rFonts w:ascii="Calibri" w:hAnsi="Calibri"/>
          <w:b w:val="0"/>
          <w:i w:val="0"/>
          <w:color w:val="1B2A32"/>
          <w:sz w:val="21"/>
        </w:rPr>
        <w:t xml:space="preserve"> rather than genuine end-goals, and mediation is well suited to converting an RCR or separation posture into either a reconciliation plan or an agreed, dignified separation with financial and parenting terms.</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HMA s.9 (RCR), s.10 (judicial separation); analogous provisions in SMA and the other regimes. RCR remains on the statute book though its constitutionality has been questioned in pending proceedings.</w:t>
            </w:r>
          </w:p>
        </w:tc>
      </w:tr>
    </w:tbl>
    <w:p>
      <w:pPr>
        <w:spacing w:after="120"/>
      </w:pPr>
    </w:p>
    <w:p>
      <w:pPr>
        <w:keepNext/>
        <w:spacing w:before="220" w:after="80"/>
      </w:pPr>
      <w:r>
        <w:rPr>
          <w:rFonts w:ascii="Calibri" w:hAnsi="Calibri"/>
          <w:b/>
          <w:i w:val="0"/>
          <w:color w:val="1E7A8C"/>
          <w:sz w:val="26"/>
        </w:rPr>
        <w:t>7.3   Maintenance &amp; Alimony</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Money for a spouse (and children) who cannot maintain themselves. It comes in two timescales — </w:t>
            </w:r>
            <w:r>
              <w:rPr>
                <w:rFonts w:ascii="Calibri" w:hAnsi="Calibri"/>
                <w:b/>
                <w:i w:val="0"/>
                <w:color w:val="1B2A32"/>
                <w:sz w:val="20"/>
              </w:rPr>
              <w:t>interim</w:t>
            </w:r>
            <w:r>
              <w:rPr>
                <w:rFonts w:ascii="Calibri" w:hAnsi="Calibri"/>
                <w:b w:val="0"/>
                <w:i w:val="0"/>
                <w:color w:val="1B2A32"/>
                <w:sz w:val="20"/>
              </w:rPr>
              <w:t xml:space="preserve"> (while the case runs) and </w:t>
            </w:r>
            <w:r>
              <w:rPr>
                <w:rFonts w:ascii="Calibri" w:hAnsi="Calibri"/>
                <w:b/>
                <w:i w:val="0"/>
                <w:color w:val="1B2A32"/>
                <w:sz w:val="20"/>
              </w:rPr>
              <w:t>permanent</w:t>
            </w:r>
            <w:r>
              <w:rPr>
                <w:rFonts w:ascii="Calibri" w:hAnsi="Calibri"/>
                <w:b w:val="0"/>
                <w:i w:val="0"/>
                <w:color w:val="1B2A32"/>
                <w:sz w:val="20"/>
              </w:rPr>
              <w:t xml:space="preserve"> (final) — and can be claimed under several laws at once. The Supreme Court now requires both sides to file a sworn </w:t>
            </w:r>
            <w:r>
              <w:rPr>
                <w:rFonts w:ascii="Calibri" w:hAnsi="Calibri"/>
                <w:b/>
                <w:i w:val="0"/>
                <w:color w:val="1B2A32"/>
                <w:sz w:val="20"/>
              </w:rPr>
              <w:t>Affidavit of Assets and Liabilities</w:t>
            </w:r>
            <w:r>
              <w:rPr>
                <w:rFonts w:ascii="Calibri" w:hAnsi="Calibri"/>
                <w:b w:val="0"/>
                <w:i w:val="0"/>
                <w:color w:val="1B2A32"/>
                <w:sz w:val="20"/>
              </w:rPr>
              <w:t xml:space="preserve"> so the amount is set fairly. Mediation can fix a lump sum or a monthly figure and lock it into an enforceable settlement.</w:t>
            </w:r>
          </w:p>
        </w:tc>
      </w:tr>
    </w:tbl>
    <w:p>
      <w:pPr>
        <w:spacing w:after="120"/>
      </w:pPr>
    </w:p>
    <w:p>
      <w:pPr>
        <w:spacing w:after="140"/>
        <w:jc w:val="both"/>
      </w:pPr>
      <w:r>
        <w:rPr>
          <w:rFonts w:ascii="Calibri" w:hAnsi="Calibri"/>
          <w:b w:val="0"/>
          <w:i w:val="0"/>
          <w:color w:val="1B2A32"/>
          <w:sz w:val="21"/>
        </w:rPr>
        <w:t xml:space="preserve">Maintenance is claimable through overlapping doors: the secular, religion-neutral remedy under Section 144 of the BNSS (formerly Section 125 CrPC); the personal-law provisions (HMA ss.24–25; SMA ss.36–37; and their analogues); and the Protection of Women from Domestic Violence Act. Because the same claimant can move under more than one law, the Supreme Court in </w:t>
      </w:r>
      <w:r>
        <w:rPr>
          <w:rFonts w:ascii="Calibri" w:hAnsi="Calibri"/>
          <w:b/>
          <w:i w:val="0"/>
          <w:color w:val="1B2A32"/>
          <w:sz w:val="21"/>
        </w:rPr>
        <w:t>Rajnesh v. Neha</w:t>
      </w:r>
      <w:r>
        <w:rPr>
          <w:rFonts w:ascii="Calibri" w:hAnsi="Calibri"/>
          <w:b w:val="0"/>
          <w:i w:val="0"/>
          <w:color w:val="1B2A32"/>
          <w:sz w:val="21"/>
        </w:rPr>
        <w:t xml:space="preserve"> rationalised the field: it mandated a standardised </w:t>
      </w:r>
      <w:r>
        <w:rPr>
          <w:rFonts w:ascii="Calibri" w:hAnsi="Calibri"/>
          <w:b/>
          <w:i w:val="0"/>
          <w:color w:val="1B2A32"/>
          <w:sz w:val="21"/>
        </w:rPr>
        <w:t>Affidavit of Disclosure of Assets and Liabilities</w:t>
      </w:r>
      <w:r>
        <w:rPr>
          <w:rFonts w:ascii="Calibri" w:hAnsi="Calibri"/>
          <w:b w:val="0"/>
          <w:i w:val="0"/>
          <w:color w:val="1B2A32"/>
          <w:sz w:val="21"/>
        </w:rPr>
        <w:t xml:space="preserve"> in every maintenance case, directed that interim maintenance ordinarily be decided within sixty days and final maintenance within a defined period, fixed the date of the application as the date from which maintenance runs, and set out the criteria for quantum — the parties' status and reasonable needs, the respondent's income and liabilities, the claimant's earning capacity, the standard of living during the marriage, and the needs of dependent children. For mediation, this framework is a gift: it gives the mediator an objective, court-endorsed grid on which to build a number both sides can accept, whether as a </w:t>
      </w:r>
      <w:r>
        <w:rPr>
          <w:rFonts w:ascii="Calibri" w:hAnsi="Calibri"/>
          <w:b/>
          <w:i w:val="0"/>
          <w:color w:val="1B2A32"/>
          <w:sz w:val="21"/>
        </w:rPr>
        <w:t>one-time settlement</w:t>
      </w:r>
      <w:r>
        <w:rPr>
          <w:rFonts w:ascii="Calibri" w:hAnsi="Calibri"/>
          <w:b w:val="0"/>
          <w:i w:val="0"/>
          <w:color w:val="1B2A32"/>
          <w:sz w:val="21"/>
        </w:rPr>
        <w:t xml:space="preserve"> or a structured monthly figure.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BNSS s.144 (ex-CrPC s.125); HMA ss.24–25; SMA ss.36–37; PWDVA s.20. Guidelines: </w:t>
            </w:r>
            <w:r>
              <w:rPr>
                <w:rFonts w:ascii="Calibri" w:hAnsi="Calibri"/>
                <w:b/>
                <w:i w:val="0"/>
                <w:color w:val="1B2A32"/>
                <w:sz w:val="20"/>
              </w:rPr>
              <w:t>Rajnesh v. Neha, (2021) 2 SCC 324</w:t>
            </w:r>
            <w:r>
              <w:rPr>
                <w:rFonts w:ascii="Calibri" w:hAnsi="Calibri"/>
                <w:b w:val="0"/>
                <w:i w:val="0"/>
                <w:color w:val="1B2A32"/>
                <w:sz w:val="20"/>
              </w:rPr>
              <w:t xml:space="preserve"> (mandatory Affidavit of Disclosure; timelines; quantum criteria; maintenance from date of application). Equator embeds the Rajnesh affidavit as a standard intake form (Forms Pack, Form F-07).</w:t>
            </w:r>
          </w:p>
        </w:tc>
      </w:tr>
    </w:tbl>
    <w:p>
      <w:pPr>
        <w:spacing w:after="120"/>
      </w:pPr>
    </w:p>
    <w:p>
      <w:pPr>
        <w:keepNext/>
        <w:spacing w:before="220" w:after="80"/>
      </w:pPr>
      <w:r>
        <w:rPr>
          <w:rFonts w:ascii="Calibri" w:hAnsi="Calibri"/>
          <w:b/>
          <w:i w:val="0"/>
          <w:color w:val="1E7A8C"/>
          <w:sz w:val="26"/>
        </w:rPr>
        <w:t>7.4   Child Custody, Guardianship &amp; Visitation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child's </w:t>
            </w:r>
            <w:r>
              <w:rPr>
                <w:rFonts w:ascii="Calibri" w:hAnsi="Calibri"/>
                <w:b/>
                <w:i w:val="0"/>
                <w:color w:val="1B2A32"/>
                <w:sz w:val="20"/>
              </w:rPr>
              <w:t>welfare is the paramount consideration</w:t>
            </w:r>
            <w:r>
              <w:rPr>
                <w:rFonts w:ascii="Calibri" w:hAnsi="Calibri"/>
                <w:b w:val="0"/>
                <w:i w:val="0"/>
                <w:color w:val="1B2A32"/>
                <w:sz w:val="20"/>
              </w:rPr>
              <w:t xml:space="preserve"> — above either parent's rights or convenience. Custody can be physical (who the child lives with), legal (who decides), joint/shared, or with a third party; the parent without custody normally gets visitation/access. Mediation produces a </w:t>
            </w:r>
            <w:r>
              <w:rPr>
                <w:rFonts w:ascii="Calibri" w:hAnsi="Calibri"/>
                <w:b/>
                <w:i w:val="0"/>
                <w:color w:val="1B2A32"/>
                <w:sz w:val="20"/>
              </w:rPr>
              <w:t>parenting plan</w:t>
            </w:r>
            <w:r>
              <w:rPr>
                <w:rFonts w:ascii="Calibri" w:hAnsi="Calibri"/>
                <w:b w:val="0"/>
                <w:i w:val="0"/>
                <w:color w:val="1B2A32"/>
                <w:sz w:val="20"/>
              </w:rPr>
              <w:t xml:space="preserve"> that courts strongly prefer to an imposed order.</w:t>
            </w:r>
          </w:p>
        </w:tc>
      </w:tr>
    </w:tbl>
    <w:p>
      <w:pPr>
        <w:spacing w:after="120"/>
      </w:pPr>
    </w:p>
    <w:p>
      <w:pPr>
        <w:spacing w:after="140"/>
        <w:jc w:val="both"/>
      </w:pPr>
      <w:r>
        <w:rPr>
          <w:rFonts w:ascii="Calibri" w:hAnsi="Calibri"/>
          <w:b w:val="0"/>
          <w:i w:val="0"/>
          <w:color w:val="1B2A32"/>
          <w:sz w:val="21"/>
        </w:rPr>
        <w:t xml:space="preserve">Custody in India is governed by the secular Guardians and Wards Act, 1890 and, for Hindus, additionally by the Hindu Minority and Guardianship Act, 1956, but every statute yields to one overriding test: the </w:t>
      </w:r>
      <w:r>
        <w:rPr>
          <w:rFonts w:ascii="Calibri" w:hAnsi="Calibri"/>
          <w:b/>
          <w:i w:val="0"/>
          <w:color w:val="1B2A32"/>
          <w:sz w:val="21"/>
        </w:rPr>
        <w:t>welfare of the minor</w:t>
      </w:r>
      <w:r>
        <w:rPr>
          <w:rFonts w:ascii="Calibri" w:hAnsi="Calibri"/>
          <w:b w:val="0"/>
          <w:i w:val="0"/>
          <w:color w:val="1B2A32"/>
          <w:sz w:val="21"/>
        </w:rPr>
        <w:t xml:space="preserve">. The Supreme Court has repeatedly held that welfare is paramount and that the child is not chattel to be handed between parents; recent decisions add the nuance that welfare, while paramount, is assessed holistically — parental conduct, financial capacity, the child's schooling, comfort and stated wishes all feature. Indian courts increasingly favour arrangements that keep both parents meaningfully involved — </w:t>
      </w:r>
      <w:r>
        <w:rPr>
          <w:rFonts w:ascii="Calibri" w:hAnsi="Calibri"/>
          <w:b/>
          <w:i w:val="0"/>
          <w:color w:val="1B2A32"/>
          <w:sz w:val="21"/>
        </w:rPr>
        <w:t>joint or shared custody, structured visitation, and detailed parenting plans</w:t>
      </w:r>
      <w:r>
        <w:rPr>
          <w:rFonts w:ascii="Calibri" w:hAnsi="Calibri"/>
          <w:b w:val="0"/>
          <w:i w:val="0"/>
          <w:color w:val="1B2A32"/>
          <w:sz w:val="21"/>
        </w:rPr>
        <w:t xml:space="preserve"> — which the Law Commission has recommended formalising. This is precisely the terrain on which mediation outperforms litigation: a mediated </w:t>
      </w:r>
      <w:r>
        <w:rPr>
          <w:rFonts w:ascii="Calibri" w:hAnsi="Calibri"/>
          <w:b/>
          <w:i w:val="0"/>
          <w:color w:val="1B2A32"/>
          <w:sz w:val="21"/>
        </w:rPr>
        <w:t>parenting plan</w:t>
      </w:r>
      <w:r>
        <w:rPr>
          <w:rFonts w:ascii="Calibri" w:hAnsi="Calibri"/>
          <w:b w:val="0"/>
          <w:i w:val="0"/>
          <w:color w:val="1B2A32"/>
          <w:sz w:val="21"/>
        </w:rPr>
        <w:t xml:space="preserve"> can address the living schedule, holidays, schooling, medical decisions, relocation and travel (including a child's passport and overseas trips) with a granularity no contested order achieves, and courts adopt such consent arrangements readily.</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Guardians and Wards Act 1890 (s.7, s.17 — welfare); Hindu Minority and Guardianship Act 1956 (s.6, s.13 — welfare paramount); HMA s.26; PWDVA s.21 (temporary custody). Muslim law: hizanat, subject to welfare. Principle: welfare of the child is the paramount consideration (</w:t>
            </w:r>
            <w:r>
              <w:rPr>
                <w:rFonts w:ascii="Calibri" w:hAnsi="Calibri"/>
                <w:b/>
                <w:i w:val="0"/>
                <w:color w:val="1B2A32"/>
                <w:sz w:val="20"/>
              </w:rPr>
              <w:t>Gaurav Nagpal v. Sumedha Nagpal, (2009) 1 SCC 42</w:t>
            </w:r>
            <w:r>
              <w:rPr>
                <w:rFonts w:ascii="Calibri" w:hAnsi="Calibri"/>
                <w:b w:val="0"/>
                <w:i w:val="0"/>
                <w:color w:val="1B2A32"/>
                <w:sz w:val="20"/>
              </w:rPr>
              <w:t>; reaffirmed and refined in recent 2024–2025 rulings). Joint custody / shared parenting: Law Commission of India, Report No. 257 (2015).</w:t>
            </w:r>
          </w:p>
        </w:tc>
      </w:tr>
    </w:tbl>
    <w:p>
      <w:pPr>
        <w:spacing w:after="120"/>
      </w:pP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Any mediated custody term takes effect only through the competent court and only if it serves the child's welfare. The mediator must ensure the plan is child-centred, not a bargaining chip traded against money, and must flag any arrangement that could harm the child.</w:t>
            </w:r>
          </w:p>
        </w:tc>
      </w:tr>
    </w:tbl>
    <w:p>
      <w:pPr>
        <w:spacing w:after="120"/>
      </w:pPr>
    </w:p>
    <w:p>
      <w:pPr>
        <w:keepNext/>
        <w:spacing w:before="220" w:after="80"/>
      </w:pPr>
      <w:r>
        <w:rPr>
          <w:rFonts w:ascii="Calibri" w:hAnsi="Calibri"/>
          <w:b/>
          <w:i w:val="0"/>
          <w:color w:val="1E7A8C"/>
          <w:sz w:val="26"/>
        </w:rPr>
        <w:t>7.5   Property, Streedhan, Matrimonial Home &amp; Mahr</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Splitting what the couple owns: the home they lived in, joint accounts and investments, gifts and </w:t>
            </w:r>
            <w:r>
              <w:rPr>
                <w:rFonts w:ascii="Calibri" w:hAnsi="Calibri"/>
                <w:b/>
                <w:i w:val="0"/>
                <w:color w:val="1B2A32"/>
                <w:sz w:val="20"/>
              </w:rPr>
              <w:t>streedhan</w:t>
            </w:r>
            <w:r>
              <w:rPr>
                <w:rFonts w:ascii="Calibri" w:hAnsi="Calibri"/>
                <w:b w:val="0"/>
                <w:i w:val="0"/>
                <w:color w:val="1B2A32"/>
                <w:sz w:val="20"/>
              </w:rPr>
              <w:t xml:space="preserve"> (the wife's own property and jewellery, which is legally hers), loans and liabilities, and — for Muslim couples — </w:t>
            </w:r>
            <w:r>
              <w:rPr>
                <w:rFonts w:ascii="Calibri" w:hAnsi="Calibri"/>
                <w:b/>
                <w:i w:val="0"/>
                <w:color w:val="1B2A32"/>
                <w:sz w:val="20"/>
              </w:rPr>
              <w:t>mahr/dower</w:t>
            </w:r>
            <w:r>
              <w:rPr>
                <w:rFonts w:ascii="Calibri" w:hAnsi="Calibri"/>
                <w:b w:val="0"/>
                <w:i w:val="0"/>
                <w:color w:val="1B2A32"/>
                <w:sz w:val="20"/>
              </w:rPr>
              <w:t>. India has no automatic 'community of property', so settlement is largely by agreement, which makes mediation ideal.</w:t>
            </w:r>
          </w:p>
        </w:tc>
      </w:tr>
    </w:tbl>
    <w:p>
      <w:pPr>
        <w:spacing w:after="120"/>
      </w:pPr>
    </w:p>
    <w:p>
      <w:pPr>
        <w:spacing w:after="140"/>
        <w:jc w:val="both"/>
      </w:pPr>
      <w:r>
        <w:rPr>
          <w:rFonts w:ascii="Calibri" w:hAnsi="Calibri"/>
          <w:b w:val="0"/>
          <w:i w:val="0"/>
          <w:color w:val="1B2A32"/>
          <w:sz w:val="21"/>
        </w:rPr>
        <w:t xml:space="preserve">Indian matrimonial law does not provide for automatic equal division of matrimonial property on divorce; ownership generally follows title. This makes the property question a matter of negotiation rather than formula, and therefore a natural fit for mediation. Several strands must be handled with care. </w:t>
      </w:r>
      <w:r>
        <w:rPr>
          <w:rFonts w:ascii="Calibri" w:hAnsi="Calibri"/>
          <w:b/>
          <w:i w:val="0"/>
          <w:color w:val="1B2A32"/>
          <w:sz w:val="21"/>
        </w:rPr>
        <w:t>Streedhan</w:t>
      </w:r>
      <w:r>
        <w:rPr>
          <w:rFonts w:ascii="Calibri" w:hAnsi="Calibri"/>
          <w:b w:val="0"/>
          <w:i w:val="0"/>
          <w:color w:val="1B2A32"/>
          <w:sz w:val="21"/>
        </w:rPr>
        <w:t xml:space="preserve"> — property and gifts given to the wife before, during or after marriage — remains her absolute property and must be returned to her; it is distinct from dowry and its retention can itself found a criminal complaint. The </w:t>
      </w:r>
      <w:r>
        <w:rPr>
          <w:rFonts w:ascii="Calibri" w:hAnsi="Calibri"/>
          <w:b/>
          <w:i w:val="0"/>
          <w:color w:val="1B2A32"/>
          <w:sz w:val="21"/>
        </w:rPr>
        <w:t>matrimonial home / shared household</w:t>
      </w:r>
      <w:r>
        <w:rPr>
          <w:rFonts w:ascii="Calibri" w:hAnsi="Calibri"/>
          <w:b w:val="0"/>
          <w:i w:val="0"/>
          <w:color w:val="1B2A32"/>
          <w:sz w:val="21"/>
        </w:rPr>
        <w:t xml:space="preserve"> carries a woman's statutory right to reside under the domestic-violence law irrespective of ownership. Joint accounts, investments, insurance, vehicles and business interests must be inventoried and allocated. Liabilities — home loans, personal loans, credit cards — must be assigned, not just assets. For Muslim couples, the </w:t>
      </w:r>
      <w:r>
        <w:rPr>
          <w:rFonts w:ascii="Calibri" w:hAnsi="Calibri"/>
          <w:b/>
          <w:i w:val="0"/>
          <w:color w:val="1B2A32"/>
          <w:sz w:val="21"/>
        </w:rPr>
        <w:t>mahr</w:t>
      </w:r>
      <w:r>
        <w:rPr>
          <w:rFonts w:ascii="Calibri" w:hAnsi="Calibri"/>
          <w:b w:val="0"/>
          <w:i w:val="0"/>
          <w:color w:val="1B2A32"/>
          <w:sz w:val="21"/>
        </w:rPr>
        <w:t xml:space="preserve"> (prompt and deferred) is a contractual entitlement of the wife to be settled. A mediated settlement can resolve the entire property matrix in one instrument, with the money leg secured through escrow (Part C, Section 19).</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Streedhan: </w:t>
            </w:r>
            <w:r>
              <w:rPr>
                <w:rFonts w:ascii="Calibri" w:hAnsi="Calibri"/>
                <w:b/>
                <w:i w:val="0"/>
                <w:color w:val="1B2A32"/>
                <w:sz w:val="20"/>
              </w:rPr>
              <w:t>Pratibha Rani v. Suraj Kumar, (1985) 2 SCC 370</w:t>
            </w:r>
            <w:r>
              <w:rPr>
                <w:rFonts w:ascii="Calibri" w:hAnsi="Calibri"/>
                <w:b w:val="0"/>
                <w:i w:val="0"/>
                <w:color w:val="1B2A32"/>
                <w:sz w:val="20"/>
              </w:rPr>
              <w:t xml:space="preserve"> (wife's absolute ownership; retention may attract criminal liability). Shared household / right to reside: PWDVA ss.17, 19; </w:t>
            </w:r>
            <w:r>
              <w:rPr>
                <w:rFonts w:ascii="Calibri" w:hAnsi="Calibri"/>
                <w:b/>
                <w:i w:val="0"/>
                <w:color w:val="1B2A32"/>
                <w:sz w:val="20"/>
              </w:rPr>
              <w:t>Satish Chandra Ahuja v. Sneha Ahuja, (2021) 1 SCC 414</w:t>
            </w:r>
            <w:r>
              <w:rPr>
                <w:rFonts w:ascii="Calibri" w:hAnsi="Calibri"/>
                <w:b w:val="0"/>
                <w:i w:val="0"/>
                <w:color w:val="1B2A32"/>
                <w:sz w:val="20"/>
              </w:rPr>
              <w:t>. Mahr: Muslim personal law (contractual right of the wife).</w:t>
            </w:r>
          </w:p>
        </w:tc>
      </w:tr>
    </w:tbl>
    <w:p>
      <w:pPr>
        <w:spacing w:after="120"/>
      </w:pPr>
    </w:p>
    <w:p>
      <w:pPr>
        <w:keepNext/>
        <w:spacing w:before="220" w:after="80"/>
      </w:pPr>
      <w:r>
        <w:rPr>
          <w:rFonts w:ascii="Calibri" w:hAnsi="Calibri"/>
          <w:b/>
          <w:i w:val="0"/>
          <w:color w:val="1E7A8C"/>
          <w:sz w:val="26"/>
        </w:rPr>
        <w:t>7.6   Domestic Violence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The Protection of Women from Domestic Violence Act, 2005 gives a woman civil protections — a </w:t>
            </w:r>
            <w:r>
              <w:rPr>
                <w:rFonts w:ascii="Calibri" w:hAnsi="Calibri"/>
                <w:b/>
                <w:i w:val="0"/>
                <w:color w:val="1B2A32"/>
                <w:sz w:val="20"/>
              </w:rPr>
              <w:t>protection order</w:t>
            </w:r>
            <w:r>
              <w:rPr>
                <w:rFonts w:ascii="Calibri" w:hAnsi="Calibri"/>
                <w:b w:val="0"/>
                <w:i w:val="0"/>
                <w:color w:val="1B2A32"/>
                <w:sz w:val="20"/>
              </w:rPr>
              <w:t>, the right to stay in the shared home (</w:t>
            </w:r>
            <w:r>
              <w:rPr>
                <w:rFonts w:ascii="Calibri" w:hAnsi="Calibri"/>
                <w:b/>
                <w:i w:val="0"/>
                <w:color w:val="1B2A32"/>
                <w:sz w:val="20"/>
              </w:rPr>
              <w:t>residence order</w:t>
            </w:r>
            <w:r>
              <w:rPr>
                <w:rFonts w:ascii="Calibri" w:hAnsi="Calibri"/>
                <w:b w:val="0"/>
                <w:i w:val="0"/>
                <w:color w:val="1B2A32"/>
                <w:sz w:val="20"/>
              </w:rPr>
              <w:t xml:space="preserve">), </w:t>
            </w:r>
            <w:r>
              <w:rPr>
                <w:rFonts w:ascii="Calibri" w:hAnsi="Calibri"/>
                <w:b/>
                <w:i w:val="0"/>
                <w:color w:val="1B2A32"/>
                <w:sz w:val="20"/>
              </w:rPr>
              <w:t>money</w:t>
            </w:r>
            <w:r>
              <w:rPr>
                <w:rFonts w:ascii="Calibri" w:hAnsi="Calibri"/>
                <w:b w:val="0"/>
                <w:i w:val="0"/>
                <w:color w:val="1B2A32"/>
                <w:sz w:val="20"/>
              </w:rPr>
              <w:t xml:space="preserve">, </w:t>
            </w:r>
            <w:r>
              <w:rPr>
                <w:rFonts w:ascii="Calibri" w:hAnsi="Calibri"/>
                <w:b/>
                <w:i w:val="0"/>
                <w:color w:val="1B2A32"/>
                <w:sz w:val="20"/>
              </w:rPr>
              <w:t>custody</w:t>
            </w:r>
            <w:r>
              <w:rPr>
                <w:rFonts w:ascii="Calibri" w:hAnsi="Calibri"/>
                <w:b w:val="0"/>
                <w:i w:val="0"/>
                <w:color w:val="1B2A32"/>
                <w:sz w:val="20"/>
              </w:rPr>
              <w:t xml:space="preserve"> and </w:t>
            </w:r>
            <w:r>
              <w:rPr>
                <w:rFonts w:ascii="Calibri" w:hAnsi="Calibri"/>
                <w:b/>
                <w:i w:val="0"/>
                <w:color w:val="1B2A32"/>
                <w:sz w:val="20"/>
              </w:rPr>
              <w:t>compensation</w:t>
            </w:r>
            <w:r>
              <w:rPr>
                <w:rFonts w:ascii="Calibri" w:hAnsi="Calibri"/>
                <w:b w:val="0"/>
                <w:i w:val="0"/>
                <w:color w:val="1B2A32"/>
                <w:sz w:val="20"/>
              </w:rPr>
              <w:t>. Some of this can be resolved by agreement, but safety comes first: if there is ongoing violence or a real safety risk, mediation is handled with special safeguards and may not be appropriate at all.</w:t>
            </w:r>
          </w:p>
        </w:tc>
      </w:tr>
    </w:tbl>
    <w:p>
      <w:pPr>
        <w:spacing w:after="120"/>
      </w:pPr>
    </w:p>
    <w:p>
      <w:pPr>
        <w:spacing w:after="140"/>
        <w:jc w:val="both"/>
      </w:pPr>
      <w:r>
        <w:rPr>
          <w:rFonts w:ascii="Calibri" w:hAnsi="Calibri"/>
          <w:b w:val="0"/>
          <w:i w:val="0"/>
          <w:color w:val="1B2A32"/>
          <w:sz w:val="21"/>
        </w:rPr>
        <w:t xml:space="preserve">The domestic-violence law is primarily </w:t>
      </w:r>
      <w:r>
        <w:rPr>
          <w:rFonts w:ascii="Calibri" w:hAnsi="Calibri"/>
          <w:b/>
          <w:i w:val="0"/>
          <w:color w:val="1B2A32"/>
          <w:sz w:val="21"/>
        </w:rPr>
        <w:t>civil and protective</w:t>
      </w:r>
      <w:r>
        <w:rPr>
          <w:rFonts w:ascii="Calibri" w:hAnsi="Calibri"/>
          <w:b w:val="0"/>
          <w:i w:val="0"/>
          <w:color w:val="1B2A32"/>
          <w:sz w:val="21"/>
        </w:rPr>
        <w:t xml:space="preserve">, aimed at stopping harm and stabilising the woman's situation rather than at punishment. Its reliefs — the protection order restraining further violence and contact (s.18); the residence order securing the woman's right to live in the shared household or to alternate accommodation (s.19, resting on the s.17 right to reside); monetary relief for expenses and losses (s.20); temporary custody (s.21); and compensation for injury including mental trauma (s.22) — are delivered through a magistrate, with a Protection Officer assisting. Many of these matters, especially the financial and residence components, are routinely folded into a comprehensive matrimonial settlement. But domestic violence also carries a hard </w:t>
      </w:r>
      <w:r>
        <w:rPr>
          <w:rFonts w:ascii="Calibri" w:hAnsi="Calibri"/>
          <w:b/>
          <w:i w:val="0"/>
          <w:color w:val="1B2A32"/>
          <w:sz w:val="21"/>
        </w:rPr>
        <w:t>safety and confidentiality</w:t>
      </w:r>
      <w:r>
        <w:rPr>
          <w:rFonts w:ascii="Calibri" w:hAnsi="Calibri"/>
          <w:b w:val="0"/>
          <w:i w:val="0"/>
          <w:color w:val="1B2A32"/>
          <w:sz w:val="21"/>
        </w:rPr>
        <w:t xml:space="preserve"> overlay that shapes Equator's process: the Mediation Act's confidentiality protection does </w:t>
      </w:r>
      <w:r>
        <w:rPr>
          <w:rFonts w:ascii="Calibri" w:hAnsi="Calibri"/>
          <w:b/>
          <w:i w:val="0"/>
          <w:color w:val="1B2A32"/>
          <w:sz w:val="21"/>
        </w:rPr>
        <w:t>not</w:t>
      </w:r>
      <w:r>
        <w:rPr>
          <w:rFonts w:ascii="Calibri" w:hAnsi="Calibri"/>
          <w:b w:val="0"/>
          <w:i w:val="0"/>
          <w:color w:val="1B2A32"/>
          <w:sz w:val="21"/>
        </w:rPr>
        <w:t xml:space="preserve"> shield disclosures relating to domestic violence, child abuse or threats to safety, and where violence is live, the case manager must invoke the safety protocol — separate sessions or shuttle mediation, no joint contact, and referral to a Protection Officer or the police as required. Breach of a protection order remains a criminal offence and cannot be 'settled away'.</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PWDVA 2005: s.17 (right to reside), s.18 (protection order), s.19 (residence order), s.20 (monetary relief), s.21 (custody), s.22 (compensation), s.23 (interim/ex-parte orders), s.31 (breach = offence). 'Domestic relationship' includes relationships in the nature of marriage: </w:t>
            </w:r>
            <w:r>
              <w:rPr>
                <w:rFonts w:ascii="Calibri" w:hAnsi="Calibri"/>
                <w:b/>
                <w:i w:val="0"/>
                <w:color w:val="1B2A32"/>
                <w:sz w:val="20"/>
              </w:rPr>
              <w:t>D. Velusamy v. D. Patchaiammal, (2010) 10 SCC 469</w:t>
            </w:r>
            <w:r>
              <w:rPr>
                <w:rFonts w:ascii="Calibri" w:hAnsi="Calibri"/>
                <w:b w:val="0"/>
                <w:i w:val="0"/>
                <w:color w:val="1B2A32"/>
                <w:sz w:val="20"/>
              </w:rPr>
              <w:t>. Confidentiality carve-out for DV: Mediation Act, 2023 s.22.</w:t>
            </w:r>
          </w:p>
        </w:tc>
      </w:tr>
    </w:tbl>
    <w:p>
      <w:pPr>
        <w:spacing w:after="12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Domestic violence is a screening priority, not a routine issue. Where there is a serious, ongoing safety risk or a stark power imbalance, the case manager must consider that the matter may be </w:t>
            </w:r>
            <w:r>
              <w:rPr>
                <w:rFonts w:ascii="Calibri" w:hAnsi="Calibri"/>
                <w:b/>
                <w:i w:val="0"/>
                <w:color w:val="1B2A32"/>
                <w:sz w:val="20"/>
              </w:rPr>
              <w:t>unsuitable for mediation</w:t>
            </w:r>
            <w:r>
              <w:rPr>
                <w:rFonts w:ascii="Calibri" w:hAnsi="Calibri"/>
                <w:b w:val="0"/>
                <w:i w:val="0"/>
                <w:color w:val="1B2A32"/>
                <w:sz w:val="20"/>
              </w:rPr>
              <w:t>, must never place the parties in the same virtual or physical room without safeguards, and must document the safety assessment. Throughput never overrides safety.</w:t>
            </w:r>
          </w:p>
        </w:tc>
      </w:tr>
    </w:tbl>
    <w:p>
      <w:pPr>
        <w:spacing w:after="120"/>
      </w:pPr>
    </w:p>
    <w:p>
      <w:pPr>
        <w:keepNext/>
        <w:spacing w:before="220" w:after="80"/>
      </w:pPr>
      <w:r>
        <w:rPr>
          <w:rFonts w:ascii="Calibri" w:hAnsi="Calibri"/>
          <w:b/>
          <w:i w:val="0"/>
          <w:color w:val="1E7A8C"/>
          <w:sz w:val="26"/>
        </w:rPr>
        <w:t>7.7   Dowry &amp; Cruelty (the 498A cluster, now BNS ss.85–86)</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Demanding or giving dowry is illegal, and cruelty to a wife by her husband or his relatives is a criminal offence — historically 'Section 498A', now </w:t>
            </w:r>
            <w:r>
              <w:rPr>
                <w:rFonts w:ascii="Calibri" w:hAnsi="Calibri"/>
                <w:b/>
                <w:i w:val="0"/>
                <w:color w:val="1B2A32"/>
                <w:sz w:val="20"/>
              </w:rPr>
              <w:t>Sections 85 and 86 of the BNS</w:t>
            </w:r>
            <w:r>
              <w:rPr>
                <w:rFonts w:ascii="Calibri" w:hAnsi="Calibri"/>
                <w:b w:val="0"/>
                <w:i w:val="0"/>
                <w:color w:val="1B2A32"/>
                <w:sz w:val="20"/>
              </w:rPr>
              <w:t xml:space="preserve"> since 1 July 2024. These cases are serious and non-compoundable, but where the couple genuinely settles, the criminal case can be brought to a lawful close (see the Quashing section).</w:t>
            </w:r>
          </w:p>
        </w:tc>
      </w:tr>
    </w:tbl>
    <w:p>
      <w:pPr>
        <w:spacing w:after="120"/>
      </w:pPr>
    </w:p>
    <w:p>
      <w:pPr>
        <w:spacing w:after="140"/>
        <w:jc w:val="both"/>
      </w:pPr>
      <w:r>
        <w:rPr>
          <w:rFonts w:ascii="Calibri" w:hAnsi="Calibri"/>
          <w:b w:val="0"/>
          <w:i w:val="0"/>
          <w:color w:val="1B2A32"/>
          <w:sz w:val="21"/>
        </w:rPr>
        <w:t xml:space="preserve">The dowry-and-cruelty cluster is where matrimonial disputes turn criminal. The Dowry Prohibition Act, 1961 penalises the giving, taking or demanding of dowry (ss.3–4). Cruelty to a married woman by her husband or his relatives — for years prosecuted under Section 498A of the Indian Penal Code — is now prosecuted under </w:t>
      </w:r>
      <w:r>
        <w:rPr>
          <w:rFonts w:ascii="Calibri" w:hAnsi="Calibri"/>
          <w:b/>
          <w:i w:val="0"/>
          <w:color w:val="1B2A32"/>
          <w:sz w:val="21"/>
        </w:rPr>
        <w:t>Section 85 of the Bharatiya Nyaya Sanhita, 2023</w:t>
      </w:r>
      <w:r>
        <w:rPr>
          <w:rFonts w:ascii="Calibri" w:hAnsi="Calibri"/>
          <w:b w:val="0"/>
          <w:i w:val="0"/>
          <w:color w:val="1B2A32"/>
          <w:sz w:val="21"/>
        </w:rPr>
        <w:t xml:space="preserve">, with </w:t>
      </w:r>
      <w:r>
        <w:rPr>
          <w:rFonts w:ascii="Calibri" w:hAnsi="Calibri"/>
          <w:b/>
          <w:i w:val="0"/>
          <w:color w:val="1B2A32"/>
          <w:sz w:val="21"/>
        </w:rPr>
        <w:t>Section 86</w:t>
      </w:r>
      <w:r>
        <w:rPr>
          <w:rFonts w:ascii="Calibri" w:hAnsi="Calibri"/>
          <w:b w:val="0"/>
          <w:i w:val="0"/>
          <w:color w:val="1B2A32"/>
          <w:sz w:val="21"/>
        </w:rPr>
        <w:t xml:space="preserve"> supplying the definition of cruelty; the offence carries up to three years' imprisonment and a fine and is cognizable and non-bailable. The gravest form, dowry death, is dealt with under Section 80 BNS (formerly Section 304B IPC). The courts have repeatedly acknowledged both the protective purpose of these provisions and their </w:t>
      </w:r>
      <w:r>
        <w:rPr>
          <w:rFonts w:ascii="Calibri" w:hAnsi="Calibri"/>
          <w:b/>
          <w:i w:val="0"/>
          <w:color w:val="1B2A32"/>
          <w:sz w:val="21"/>
        </w:rPr>
        <w:t>misuse</w:t>
      </w:r>
      <w:r>
        <w:rPr>
          <w:rFonts w:ascii="Calibri" w:hAnsi="Calibri"/>
          <w:b w:val="0"/>
          <w:i w:val="0"/>
          <w:color w:val="1B2A32"/>
          <w:sz w:val="21"/>
        </w:rPr>
        <w:t xml:space="preserve"> in some matrimonial conflicts, laying down safeguards against automatic arrest and against the mechanical implication of every relative. For Equator, the cruelty case is usually the emotional and tactical centre of gravity of the dispute: resolving it — lawfully, through the criminal-closure track — is often what makes a global settlement possible.</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Dowry Prohibition Act 1961 ss.3–4; BNS 2023 s.80 (dowry death, ex-304B IPC), s.85 (cruelty, ex-498A) and s.86 (definition of cruelty). Arrest safeguards: </w:t>
            </w:r>
            <w:r>
              <w:rPr>
                <w:rFonts w:ascii="Calibri" w:hAnsi="Calibri"/>
                <w:b/>
                <w:i w:val="0"/>
                <w:color w:val="1B2A32"/>
                <w:sz w:val="20"/>
              </w:rPr>
              <w:t>Arnesh Kumar v. State of Bihar, (2014) 8 SCC 273</w:t>
            </w:r>
            <w:r>
              <w:rPr>
                <w:rFonts w:ascii="Calibri" w:hAnsi="Calibri"/>
                <w:b w:val="0"/>
                <w:i w:val="0"/>
                <w:color w:val="1B2A32"/>
                <w:sz w:val="20"/>
              </w:rPr>
              <w:t xml:space="preserve"> (s.41 CrPC / now s.35 BNSS). Against mechanical implication of relatives: </w:t>
            </w:r>
            <w:r>
              <w:rPr>
                <w:rFonts w:ascii="Calibri" w:hAnsi="Calibri"/>
                <w:b/>
                <w:i w:val="0"/>
                <w:color w:val="1B2A32"/>
                <w:sz w:val="20"/>
              </w:rPr>
              <w:t>Dara Lakshmi Narayana v. State of Telangana, 2024 INSC 953</w:t>
            </w:r>
            <w:r>
              <w:rPr>
                <w:rFonts w:ascii="Calibri" w:hAnsi="Calibri"/>
                <w:b w:val="0"/>
                <w:i w:val="0"/>
                <w:color w:val="1B2A32"/>
                <w:sz w:val="20"/>
              </w:rPr>
              <w:t xml:space="preserve">; misuse safeguards discussed in </w:t>
            </w:r>
            <w:r>
              <w:rPr>
                <w:rFonts w:ascii="Calibri" w:hAnsi="Calibri"/>
                <w:b/>
                <w:i w:val="0"/>
                <w:color w:val="1B2A32"/>
                <w:sz w:val="20"/>
              </w:rPr>
              <w:t>Rajesh Sharma v. State of U.P., (2018) 10 SCC 472</w:t>
            </w:r>
            <w:r>
              <w:rPr>
                <w:rFonts w:ascii="Calibri" w:hAnsi="Calibri"/>
                <w:b w:val="0"/>
                <w:i w:val="0"/>
                <w:color w:val="1B2A32"/>
                <w:sz w:val="20"/>
              </w:rPr>
              <w:t xml:space="preserve"> and </w:t>
            </w:r>
            <w:r>
              <w:rPr>
                <w:rFonts w:ascii="Calibri" w:hAnsi="Calibri"/>
                <w:b/>
                <w:i w:val="0"/>
                <w:color w:val="1B2A32"/>
                <w:sz w:val="20"/>
              </w:rPr>
              <w:t>Social Action Forum for Manav Adhikar v. Union of India, (2018) 10 SCC 443</w:t>
            </w:r>
            <w:r>
              <w:rPr>
                <w:rFonts w:ascii="Calibri" w:hAnsi="Calibri"/>
                <w:b w:val="0"/>
                <w:i w:val="0"/>
                <w:color w:val="1B2A32"/>
                <w:sz w:val="20"/>
              </w:rPr>
              <w:t>.</w:t>
            </w:r>
          </w:p>
        </w:tc>
      </w:tr>
    </w:tbl>
    <w:p>
      <w:pPr>
        <w:spacing w:after="120"/>
      </w:pPr>
    </w:p>
    <w:p>
      <w:pPr>
        <w:keepNext/>
        <w:spacing w:before="220" w:after="80"/>
      </w:pPr>
      <w:r>
        <w:rPr>
          <w:rFonts w:ascii="Calibri" w:hAnsi="Calibri"/>
          <w:b/>
          <w:i w:val="0"/>
          <w:color w:val="1E7A8C"/>
          <w:sz w:val="26"/>
        </w:rPr>
        <w:t>7.8   Criminal Cross-Complaints, FIR Withdrawal &amp; Quashing</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When spouses have filed police cases against each other, a settlement is only real if those cases actually end. </w:t>
            </w:r>
            <w:r>
              <w:rPr>
                <w:rFonts w:ascii="Calibri" w:hAnsi="Calibri"/>
                <w:b/>
                <w:i w:val="0"/>
                <w:color w:val="1B2A32"/>
                <w:sz w:val="20"/>
              </w:rPr>
              <w:t>Compoundable</w:t>
            </w:r>
            <w:r>
              <w:rPr>
                <w:rFonts w:ascii="Calibri" w:hAnsi="Calibri"/>
                <w:b w:val="0"/>
                <w:i w:val="0"/>
                <w:color w:val="1B2A32"/>
                <w:sz w:val="20"/>
              </w:rPr>
              <w:t xml:space="preserve"> offences can be formally 'compounded' before the court; </w:t>
            </w:r>
            <w:r>
              <w:rPr>
                <w:rFonts w:ascii="Calibri" w:hAnsi="Calibri"/>
                <w:b/>
                <w:i w:val="0"/>
                <w:color w:val="1B2A32"/>
                <w:sz w:val="20"/>
              </w:rPr>
              <w:t>non-compoundable</w:t>
            </w:r>
            <w:r>
              <w:rPr>
                <w:rFonts w:ascii="Calibri" w:hAnsi="Calibri"/>
                <w:b w:val="0"/>
                <w:i w:val="0"/>
                <w:color w:val="1B2A32"/>
                <w:sz w:val="20"/>
              </w:rPr>
              <w:t xml:space="preserve"> ones (like the cruelty offence) are ended by the </w:t>
            </w:r>
            <w:r>
              <w:rPr>
                <w:rFonts w:ascii="Calibri" w:hAnsi="Calibri"/>
                <w:b/>
                <w:i w:val="0"/>
                <w:color w:val="1B2A32"/>
                <w:sz w:val="20"/>
              </w:rPr>
              <w:t>High Court quashing the FIR</w:t>
            </w:r>
            <w:r>
              <w:rPr>
                <w:rFonts w:ascii="Calibri" w:hAnsi="Calibri"/>
                <w:b w:val="0"/>
                <w:i w:val="0"/>
                <w:color w:val="1B2A32"/>
                <w:sz w:val="20"/>
              </w:rPr>
              <w:t xml:space="preserve"> on the strength of a genuine settlement — a power the Supreme Court has confirmed for private, matrimonial disputes. Truly heinous offences (e.g. dowry death) cannot be quashed just because the parties settle.</w:t>
            </w:r>
          </w:p>
        </w:tc>
      </w:tr>
    </w:tbl>
    <w:p>
      <w:pPr>
        <w:spacing w:after="120"/>
      </w:pPr>
    </w:p>
    <w:p>
      <w:pPr>
        <w:spacing w:after="140"/>
        <w:jc w:val="both"/>
      </w:pPr>
      <w:r>
        <w:rPr>
          <w:rFonts w:ascii="Calibri" w:hAnsi="Calibri"/>
          <w:b w:val="0"/>
          <w:i w:val="0"/>
          <w:color w:val="1B2A32"/>
          <w:sz w:val="21"/>
        </w:rPr>
        <w:t xml:space="preserve">A matrimonial settlement frequently has to dispose of criminal proceedings the parties have launched against each other — a cruelty FIR, a dowry complaint, counter-allegations of theft of streedhan, or assault. The legal toolkit has two levers. Where an offence is </w:t>
      </w:r>
      <w:r>
        <w:rPr>
          <w:rFonts w:ascii="Calibri" w:hAnsi="Calibri"/>
          <w:b/>
          <w:i w:val="0"/>
          <w:color w:val="1B2A32"/>
          <w:sz w:val="21"/>
        </w:rPr>
        <w:t>compoundable</w:t>
      </w:r>
      <w:r>
        <w:rPr>
          <w:rFonts w:ascii="Calibri" w:hAnsi="Calibri"/>
          <w:b w:val="0"/>
          <w:i w:val="0"/>
          <w:color w:val="1B2A32"/>
          <w:sz w:val="21"/>
        </w:rPr>
        <w:t xml:space="preserve">, the parties can compound it before the court (compounding is now governed by Section 359 BNSS, formerly Section 320 CrPC). Where an offence is </w:t>
      </w:r>
      <w:r>
        <w:rPr>
          <w:rFonts w:ascii="Calibri" w:hAnsi="Calibri"/>
          <w:b/>
          <w:i w:val="0"/>
          <w:color w:val="1B2A32"/>
          <w:sz w:val="21"/>
        </w:rPr>
        <w:t>non-compoundable</w:t>
      </w:r>
      <w:r>
        <w:rPr>
          <w:rFonts w:ascii="Calibri" w:hAnsi="Calibri"/>
          <w:b w:val="0"/>
          <w:i w:val="0"/>
          <w:color w:val="1B2A32"/>
          <w:sz w:val="21"/>
        </w:rPr>
        <w:t xml:space="preserve"> — as Section 85 BNS / 498A is — it cannot be compounded, but the </w:t>
      </w:r>
      <w:r>
        <w:rPr>
          <w:rFonts w:ascii="Calibri" w:hAnsi="Calibri"/>
          <w:b/>
          <w:i w:val="0"/>
          <w:color w:val="1B2A32"/>
          <w:sz w:val="21"/>
        </w:rPr>
        <w:t>High Court may quash</w:t>
      </w:r>
      <w:r>
        <w:rPr>
          <w:rFonts w:ascii="Calibri" w:hAnsi="Calibri"/>
          <w:b w:val="0"/>
          <w:i w:val="0"/>
          <w:color w:val="1B2A32"/>
          <w:sz w:val="21"/>
        </w:rPr>
        <w:t xml:space="preserve"> the FIR and proceedings in exercise of its inherent power under </w:t>
      </w:r>
      <w:r>
        <w:rPr>
          <w:rFonts w:ascii="Calibri" w:hAnsi="Calibri"/>
          <w:b/>
          <w:i w:val="0"/>
          <w:color w:val="1B2A32"/>
          <w:sz w:val="21"/>
        </w:rPr>
        <w:t>Section 528 of the BNSS</w:t>
      </w:r>
      <w:r>
        <w:rPr>
          <w:rFonts w:ascii="Calibri" w:hAnsi="Calibri"/>
          <w:b w:val="0"/>
          <w:i w:val="0"/>
          <w:color w:val="1B2A32"/>
          <w:sz w:val="21"/>
        </w:rPr>
        <w:t xml:space="preserve"> (the verbatim successor to Section 482 CrPC). The Supreme Court has settled that this power extends to non-compoundable offences arising from </w:t>
      </w:r>
      <w:r>
        <w:rPr>
          <w:rFonts w:ascii="Calibri" w:hAnsi="Calibri"/>
          <w:b/>
          <w:i w:val="0"/>
          <w:color w:val="1B2A32"/>
          <w:sz w:val="21"/>
        </w:rPr>
        <w:t>private, matrimonial disputes</w:t>
      </w:r>
      <w:r>
        <w:rPr>
          <w:rFonts w:ascii="Calibri" w:hAnsi="Calibri"/>
          <w:b w:val="0"/>
          <w:i w:val="0"/>
          <w:color w:val="1B2A32"/>
          <w:sz w:val="21"/>
        </w:rPr>
        <w:t xml:space="preserve"> where the parties have genuinely settled and continuing the prosecution would serve no public interest — while cautioning that </w:t>
      </w:r>
      <w:r>
        <w:rPr>
          <w:rFonts w:ascii="Calibri" w:hAnsi="Calibri"/>
          <w:b/>
          <w:i w:val="0"/>
          <w:color w:val="1B2A32"/>
          <w:sz w:val="21"/>
        </w:rPr>
        <w:t>heinous offences and those with a public dimension (such as dowry death) will not be quashed merely because the parties have compromised</w:t>
      </w:r>
      <w:r>
        <w:rPr>
          <w:rFonts w:ascii="Calibri" w:hAnsi="Calibri"/>
          <w:b w:val="0"/>
          <w:i w:val="0"/>
          <w:color w:val="1B2A32"/>
          <w:sz w:val="21"/>
        </w:rPr>
        <w:t>. Equator's settlement architecture (Part C, Section 20) captures the mutual withdrawal and non-prosecution covenants in the MSA and sequences the escrow release against the actual compounding or quashing, so that neither party is left having paid without the case ending, or having withdrawn without being paid.</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Inherent power to quash: </w:t>
            </w:r>
            <w:r>
              <w:rPr>
                <w:rFonts w:ascii="Calibri" w:hAnsi="Calibri"/>
                <w:b/>
                <w:i w:val="0"/>
                <w:color w:val="1B2A32"/>
                <w:sz w:val="20"/>
              </w:rPr>
              <w:t>s.528 BNSS</w:t>
            </w:r>
            <w:r>
              <w:rPr>
                <w:rFonts w:ascii="Calibri" w:hAnsi="Calibri"/>
                <w:b w:val="0"/>
                <w:i w:val="0"/>
                <w:color w:val="1B2A32"/>
                <w:sz w:val="20"/>
              </w:rPr>
              <w:t xml:space="preserve"> (ex-s.482 CrPC). Compounding: </w:t>
            </w:r>
            <w:r>
              <w:rPr>
                <w:rFonts w:ascii="Calibri" w:hAnsi="Calibri"/>
                <w:b/>
                <w:i w:val="0"/>
                <w:color w:val="1B2A32"/>
                <w:sz w:val="20"/>
              </w:rPr>
              <w:t>s.359 BNSS</w:t>
            </w:r>
            <w:r>
              <w:rPr>
                <w:rFonts w:ascii="Calibri" w:hAnsi="Calibri"/>
                <w:b w:val="0"/>
                <w:i w:val="0"/>
                <w:color w:val="1B2A32"/>
                <w:sz w:val="20"/>
              </w:rPr>
              <w:t xml:space="preserve"> (ex-s.320 CrPC). Leading authorities: </w:t>
            </w:r>
            <w:r>
              <w:rPr>
                <w:rFonts w:ascii="Calibri" w:hAnsi="Calibri"/>
                <w:b/>
                <w:i w:val="0"/>
                <w:color w:val="1B2A32"/>
                <w:sz w:val="20"/>
              </w:rPr>
              <w:t>Gian Singh v. State of Punjab, (2012) 10 SCC 303</w:t>
            </w:r>
            <w:r>
              <w:rPr>
                <w:rFonts w:ascii="Calibri" w:hAnsi="Calibri"/>
                <w:b w:val="0"/>
                <w:i w:val="0"/>
                <w:color w:val="1B2A32"/>
                <w:sz w:val="20"/>
              </w:rPr>
              <w:t xml:space="preserve">; </w:t>
            </w:r>
            <w:r>
              <w:rPr>
                <w:rFonts w:ascii="Calibri" w:hAnsi="Calibri"/>
                <w:b/>
                <w:i w:val="0"/>
                <w:color w:val="1B2A32"/>
                <w:sz w:val="20"/>
              </w:rPr>
              <w:t>B.S. Joshi v. State of Haryana, (2003) 4 SCC 675</w:t>
            </w:r>
            <w:r>
              <w:rPr>
                <w:rFonts w:ascii="Calibri" w:hAnsi="Calibri"/>
                <w:b w:val="0"/>
                <w:i w:val="0"/>
                <w:color w:val="1B2A32"/>
                <w:sz w:val="20"/>
              </w:rPr>
              <w:t xml:space="preserve">; </w:t>
            </w:r>
            <w:r>
              <w:rPr>
                <w:rFonts w:ascii="Calibri" w:hAnsi="Calibri"/>
                <w:b/>
                <w:i w:val="0"/>
                <w:color w:val="1B2A32"/>
                <w:sz w:val="20"/>
              </w:rPr>
              <w:t>K. Srinivas Rao v. D.A. Deepa, (2013) 5 SCC 226</w:t>
            </w:r>
            <w:r>
              <w:rPr>
                <w:rFonts w:ascii="Calibri" w:hAnsi="Calibri"/>
                <w:b w:val="0"/>
                <w:i w:val="0"/>
                <w:color w:val="1B2A32"/>
                <w:sz w:val="20"/>
              </w:rPr>
              <w:t xml:space="preserve"> (matrimonial matters, including 498A, may be referred to mediation); </w:t>
            </w:r>
            <w:r>
              <w:rPr>
                <w:rFonts w:ascii="Calibri" w:hAnsi="Calibri"/>
                <w:b/>
                <w:i w:val="0"/>
                <w:color w:val="1B2A32"/>
                <w:sz w:val="20"/>
              </w:rPr>
              <w:t>Parbatbhai Aahir v. State of Gujarat, (2017) 9 SCC 641</w:t>
            </w:r>
            <w:r>
              <w:rPr>
                <w:rFonts w:ascii="Calibri" w:hAnsi="Calibri"/>
                <w:b w:val="0"/>
                <w:i w:val="0"/>
                <w:color w:val="1B2A32"/>
                <w:sz w:val="20"/>
              </w:rPr>
              <w:t xml:space="preserve"> (principles governing quashing on settlement).</w:t>
            </w:r>
          </w:p>
        </w:tc>
      </w:tr>
    </w:tbl>
    <w:p>
      <w:pPr>
        <w:spacing w:after="120"/>
      </w:pPr>
    </w:p>
    <w:p>
      <w:pPr>
        <w:spacing w:before="80" w:after="40"/>
        <w:jc w:val="center"/>
      </w:pPr>
      <w:r>
        <w:drawing>
          <wp:inline xmlns:a="http://schemas.openxmlformats.org/drawingml/2006/main" xmlns:pic="http://schemas.openxmlformats.org/drawingml/2006/picture">
            <wp:extent cx="4754880" cy="5754655"/>
            <wp:docPr id="3" name="Picture 3"/>
            <wp:cNvGraphicFramePr>
              <a:graphicFrameLocks noChangeAspect="1"/>
            </wp:cNvGraphicFramePr>
            <a:graphic>
              <a:graphicData uri="http://schemas.openxmlformats.org/drawingml/2006/picture">
                <pic:pic>
                  <pic:nvPicPr>
                    <pic:cNvPr id="0" name="06_fir_quashing.png"/>
                    <pic:cNvPicPr/>
                  </pic:nvPicPr>
                  <pic:blipFill>
                    <a:blip r:embed="rId11"/>
                    <a:stretch>
                      <a:fillRect/>
                    </a:stretch>
                  </pic:blipFill>
                  <pic:spPr>
                    <a:xfrm>
                      <a:off x="0" y="0"/>
                      <a:ext cx="4754880" cy="5754655"/>
                    </a:xfrm>
                    <a:prstGeom prst="rect"/>
                  </pic:spPr>
                </pic:pic>
              </a:graphicData>
            </a:graphic>
          </wp:inline>
        </w:drawing>
      </w:r>
    </w:p>
    <w:p>
      <w:pPr>
        <w:spacing w:before="20" w:after="200"/>
        <w:jc w:val="center"/>
      </w:pPr>
      <w:r>
        <w:rPr>
          <w:rFonts w:ascii="Calibri" w:hAnsi="Calibri"/>
          <w:b w:val="0"/>
          <w:i/>
          <w:color w:val="556168"/>
          <w:sz w:val="17"/>
        </w:rPr>
        <w:t>Figure 2 — Criminal cross-complaints are carried to lawful closure and sequenced against escrow.</w:t>
      </w:r>
    </w:p>
    <w:p>
      <w:pPr>
        <w:keepNext/>
        <w:spacing w:before="220" w:after="80"/>
      </w:pPr>
      <w:r>
        <w:rPr>
          <w:rFonts w:ascii="Calibri" w:hAnsi="Calibri"/>
          <w:b/>
          <w:i w:val="0"/>
          <w:color w:val="1E7A8C"/>
          <w:sz w:val="26"/>
        </w:rPr>
        <w:t>7.9   Extramarital Affairs / Adultery</w:t>
      </w:r>
    </w:p>
    <w:p>
      <w:pPr>
        <w:spacing w:after="140"/>
        <w:jc w:val="both"/>
      </w:pPr>
      <w:r>
        <w:rPr>
          <w:rFonts w:ascii="Calibri" w:hAnsi="Calibri"/>
          <w:b w:val="0"/>
          <w:i w:val="0"/>
          <w:color w:val="1B2A32"/>
          <w:sz w:val="21"/>
        </w:rPr>
        <w:t xml:space="preserve">Adultery is no longer a </w:t>
      </w:r>
      <w:r>
        <w:rPr>
          <w:rFonts w:ascii="Calibri" w:hAnsi="Calibri"/>
          <w:b/>
          <w:i w:val="0"/>
          <w:color w:val="1B2A32"/>
          <w:sz w:val="21"/>
        </w:rPr>
        <w:t>crime</w:t>
      </w:r>
      <w:r>
        <w:rPr>
          <w:rFonts w:ascii="Calibri" w:hAnsi="Calibri"/>
          <w:b w:val="0"/>
          <w:i w:val="0"/>
          <w:color w:val="1B2A32"/>
          <w:sz w:val="21"/>
        </w:rPr>
        <w:t xml:space="preserve"> in India — the Supreme Court struck down Section 497 IPC in 2018 — but it remains a </w:t>
      </w:r>
      <w:r>
        <w:rPr>
          <w:rFonts w:ascii="Calibri" w:hAnsi="Calibri"/>
          <w:b/>
          <w:i w:val="0"/>
          <w:color w:val="1B2A32"/>
          <w:sz w:val="21"/>
        </w:rPr>
        <w:t>civil ground for divorce</w:t>
      </w:r>
      <w:r>
        <w:rPr>
          <w:rFonts w:ascii="Calibri" w:hAnsi="Calibri"/>
          <w:b w:val="0"/>
          <w:i w:val="0"/>
          <w:color w:val="1B2A32"/>
          <w:sz w:val="21"/>
        </w:rPr>
        <w:t xml:space="preserve"> and often the emotional trigger for the whole dispute. In mediation, the task is to move the parties from proving or disproving the affair toward agreeing terms; the fact of adultery, if admitted, can support a fault-based petition, but a mediated matter is almost always steered to the mutual-consent route where blame need not be established.</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Adultery decriminalised: </w:t>
            </w:r>
            <w:r>
              <w:rPr>
                <w:rFonts w:ascii="Calibri" w:hAnsi="Calibri"/>
                <w:b/>
                <w:i w:val="0"/>
                <w:color w:val="1B2A32"/>
                <w:sz w:val="20"/>
              </w:rPr>
              <w:t>Joseph Shine v. Union of India, (2019) 3 SCC 39</w:t>
            </w:r>
            <w:r>
              <w:rPr>
                <w:rFonts w:ascii="Calibri" w:hAnsi="Calibri"/>
                <w:b w:val="0"/>
                <w:i w:val="0"/>
                <w:color w:val="1B2A32"/>
                <w:sz w:val="20"/>
              </w:rPr>
              <w:t xml:space="preserve"> (s.497 IPC struck down). Adultery remains a matrimonial fault ground (e.g. HMA s.13(1)(i); SMA s.27; Divorce Act s.10).</w:t>
            </w:r>
          </w:p>
        </w:tc>
      </w:tr>
    </w:tbl>
    <w:p>
      <w:pPr>
        <w:spacing w:after="120"/>
      </w:pPr>
    </w:p>
    <w:p>
      <w:pPr>
        <w:keepNext/>
        <w:spacing w:before="220" w:after="80"/>
      </w:pPr>
      <w:r>
        <w:rPr>
          <w:rFonts w:ascii="Calibri" w:hAnsi="Calibri"/>
          <w:b/>
          <w:i w:val="0"/>
          <w:color w:val="1E7A8C"/>
          <w:sz w:val="26"/>
        </w:rPr>
        <w:t>7.10   Polygamy &amp; Bigamy</w:t>
      </w:r>
    </w:p>
    <w:p>
      <w:pPr>
        <w:spacing w:after="140"/>
        <w:jc w:val="both"/>
      </w:pPr>
      <w:r>
        <w:rPr>
          <w:rFonts w:ascii="Calibri" w:hAnsi="Calibri"/>
          <w:b w:val="0"/>
          <w:i w:val="0"/>
          <w:color w:val="1B2A32"/>
          <w:sz w:val="21"/>
        </w:rPr>
        <w:t>For Hindus, Christians and Parsis, and for couples married under the Special Marriage Act, a second marriage during the subsistence of the first is void and is the criminal offence of bigamy (Section 82 BNS, formerly Sections 494–495 IPC). Conversion to another religion to contract a second marriage does not defeat the first spouse's rights, as the Supreme Court has held. Muslim personal law's historical position differs, but is itself constrained. Where bigamy is alleged, Equator screens carefully: the offence is not one that can simply be settled away, and a void second marriage cannot be validated by agreement, though the financial and custodial consequences for the parties and any children can be mediated.</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Bigamy: BNS s.82 (ex-IPC ss.494–495); HMA s.5(i), s.11, s.17. </w:t>
            </w:r>
            <w:r>
              <w:rPr>
                <w:rFonts w:ascii="Calibri" w:hAnsi="Calibri"/>
                <w:b/>
                <w:i w:val="0"/>
                <w:color w:val="1B2A32"/>
                <w:sz w:val="20"/>
              </w:rPr>
              <w:t>Sarla Mudgal v. Union of India, (1995) 3 SCC 635</w:t>
            </w:r>
            <w:r>
              <w:rPr>
                <w:rFonts w:ascii="Calibri" w:hAnsi="Calibri"/>
                <w:b w:val="0"/>
                <w:i w:val="0"/>
                <w:color w:val="1B2A32"/>
                <w:sz w:val="20"/>
              </w:rPr>
              <w:t xml:space="preserve">; </w:t>
            </w:r>
            <w:r>
              <w:rPr>
                <w:rFonts w:ascii="Calibri" w:hAnsi="Calibri"/>
                <w:b/>
                <w:i w:val="0"/>
                <w:color w:val="1B2A32"/>
                <w:sz w:val="20"/>
              </w:rPr>
              <w:t>Lily Thomas v. Union of India, (2000) 6 SCC 224</w:t>
            </w:r>
            <w:r>
              <w:rPr>
                <w:rFonts w:ascii="Calibri" w:hAnsi="Calibri"/>
                <w:b w:val="0"/>
                <w:i w:val="0"/>
                <w:color w:val="1B2A32"/>
                <w:sz w:val="20"/>
              </w:rPr>
              <w:t xml:space="preserve"> (conversion does not legitimise bigamy).</w:t>
            </w:r>
          </w:p>
        </w:tc>
      </w:tr>
    </w:tbl>
    <w:p>
      <w:pPr>
        <w:spacing w:after="120"/>
      </w:pPr>
    </w:p>
    <w:p>
      <w:pPr>
        <w:keepNext/>
        <w:spacing w:before="220" w:after="80"/>
      </w:pPr>
      <w:r>
        <w:rPr>
          <w:rFonts w:ascii="Calibri" w:hAnsi="Calibri"/>
          <w:b/>
          <w:i w:val="0"/>
          <w:color w:val="1E7A8C"/>
          <w:sz w:val="26"/>
        </w:rPr>
        <w:t>7.11   Harassment (including online and dowry-linked harassment)</w:t>
      </w:r>
    </w:p>
    <w:p>
      <w:pPr>
        <w:spacing w:after="140"/>
        <w:jc w:val="both"/>
      </w:pPr>
      <w:r>
        <w:rPr>
          <w:rFonts w:ascii="Calibri" w:hAnsi="Calibri"/>
          <w:b w:val="0"/>
          <w:i w:val="0"/>
          <w:color w:val="1B2A32"/>
          <w:sz w:val="21"/>
        </w:rPr>
        <w:t xml:space="preserve">Harassment threads through many marital disputes — dowry-linked harassment prosecuted within the cruelty provisions, criminal intimidation, stalking or the non-consensual sharing of images, and workplace or family harassment spilling into the marriage. Equator treats harassment as both an </w:t>
      </w:r>
      <w:r>
        <w:rPr>
          <w:rFonts w:ascii="Calibri" w:hAnsi="Calibri"/>
          <w:b/>
          <w:i w:val="0"/>
          <w:color w:val="1B2A32"/>
          <w:sz w:val="21"/>
        </w:rPr>
        <w:t>issue to be resolved</w:t>
      </w:r>
      <w:r>
        <w:rPr>
          <w:rFonts w:ascii="Calibri" w:hAnsi="Calibri"/>
          <w:b w:val="0"/>
          <w:i w:val="0"/>
          <w:color w:val="1B2A32"/>
          <w:sz w:val="21"/>
        </w:rPr>
        <w:t xml:space="preserve"> (through no-contact and non-disparagement covenants in the settlement) and a </w:t>
      </w:r>
      <w:r>
        <w:rPr>
          <w:rFonts w:ascii="Calibri" w:hAnsi="Calibri"/>
          <w:b/>
          <w:i w:val="0"/>
          <w:color w:val="1B2A32"/>
          <w:sz w:val="21"/>
        </w:rPr>
        <w:t>safety signal</w:t>
      </w:r>
      <w:r>
        <w:rPr>
          <w:rFonts w:ascii="Calibri" w:hAnsi="Calibri"/>
          <w:b w:val="0"/>
          <w:i w:val="0"/>
          <w:color w:val="1B2A32"/>
          <w:sz w:val="21"/>
        </w:rPr>
        <w:t xml:space="preserve"> that feeds the domestic-violence screen. Where conduct crosses into ongoing criminal harassment or threats, the confidentiality privilege does not apply and the matter may require referral rather than mediation.</w:t>
      </w:r>
    </w:p>
    <w:p>
      <w:pPr>
        <w:keepNext/>
        <w:spacing w:before="320" w:after="140"/>
        <w:pBdr>
          <w:bottom w:val="single" w:sz="12" w:space="3" w:color="C6A15B"/>
        </w:pBdr>
      </w:pPr>
      <w:r>
        <w:rPr>
          <w:rFonts w:ascii="Calibri" w:hAnsi="Calibri"/>
          <w:b/>
          <w:i w:val="0"/>
          <w:color w:val="123B4F"/>
          <w:sz w:val="34"/>
        </w:rPr>
        <w:t>8.  The Mediation Act, 2023 — Compliance Deep Dive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This is the law Equator itself operates under. It says who can run mediations, how long they may take, what a settlement must look like, how it is registered and enforced, when it can be challenged, and which disputes may </w:t>
            </w:r>
            <w:r>
              <w:rPr>
                <w:rFonts w:ascii="Calibri" w:hAnsi="Calibri"/>
                <w:b/>
                <w:i w:val="0"/>
                <w:color w:val="1B2A32"/>
                <w:sz w:val="20"/>
              </w:rPr>
              <w:t>not</w:t>
            </w:r>
            <w:r>
              <w:rPr>
                <w:rFonts w:ascii="Calibri" w:hAnsi="Calibri"/>
                <w:b w:val="0"/>
                <w:i w:val="0"/>
                <w:color w:val="1B2A32"/>
                <w:sz w:val="20"/>
              </w:rPr>
              <w:t xml:space="preserve"> be mediated. Getting this right is what makes Equator a credible, regulator-ready institution.</w:t>
            </w:r>
          </w:p>
        </w:tc>
      </w:tr>
    </w:tbl>
    <w:p>
      <w:pPr>
        <w:spacing w:after="120"/>
      </w:pPr>
    </w:p>
    <w:p>
      <w:pPr>
        <w:keepNext/>
        <w:spacing w:before="220" w:after="80"/>
      </w:pPr>
      <w:r>
        <w:rPr>
          <w:rFonts w:ascii="Calibri" w:hAnsi="Calibri"/>
          <w:b/>
          <w:i w:val="0"/>
          <w:color w:val="1E7A8C"/>
          <w:sz w:val="26"/>
        </w:rPr>
        <w:t>8.1   Institutional standing: Mediation Service Provider &amp; the Council</w:t>
      </w:r>
    </w:p>
    <w:p>
      <w:pPr>
        <w:spacing w:after="140"/>
        <w:jc w:val="both"/>
      </w:pPr>
      <w:r>
        <w:rPr>
          <w:rFonts w:ascii="Calibri" w:hAnsi="Calibri"/>
          <w:b w:val="0"/>
          <w:i w:val="0"/>
          <w:color w:val="1B2A32"/>
          <w:sz w:val="21"/>
        </w:rPr>
        <w:t xml:space="preserve">The Act creates a formal ecosystem. </w:t>
      </w:r>
      <w:r>
        <w:rPr>
          <w:rFonts w:ascii="Calibri" w:hAnsi="Calibri"/>
          <w:b/>
          <w:i w:val="0"/>
          <w:color w:val="1B2A32"/>
          <w:sz w:val="21"/>
        </w:rPr>
        <w:t>Mediators</w:t>
      </w:r>
      <w:r>
        <w:rPr>
          <w:rFonts w:ascii="Calibri" w:hAnsi="Calibri"/>
          <w:b w:val="0"/>
          <w:i w:val="0"/>
          <w:color w:val="1B2A32"/>
          <w:sz w:val="21"/>
        </w:rPr>
        <w:t xml:space="preserve"> are neutrals who conduct mediations; </w:t>
      </w:r>
      <w:r>
        <w:rPr>
          <w:rFonts w:ascii="Calibri" w:hAnsi="Calibri"/>
          <w:b/>
          <w:i w:val="0"/>
          <w:color w:val="1B2A32"/>
          <w:sz w:val="21"/>
        </w:rPr>
        <w:t>Mediation Service Providers (MSPs)</w:t>
      </w:r>
      <w:r>
        <w:rPr>
          <w:rFonts w:ascii="Calibri" w:hAnsi="Calibri"/>
          <w:b w:val="0"/>
          <w:i w:val="0"/>
          <w:color w:val="1B2A32"/>
          <w:sz w:val="21"/>
        </w:rPr>
        <w:t xml:space="preserve"> are institutions — like Equator Resolution — that administer mediations, maintain panels and rules, provide facilities and hold records; and the </w:t>
      </w:r>
      <w:r>
        <w:rPr>
          <w:rFonts w:ascii="Calibri" w:hAnsi="Calibri"/>
          <w:b/>
          <w:i w:val="0"/>
          <w:color w:val="1B2A32"/>
          <w:sz w:val="21"/>
        </w:rPr>
        <w:t>Mediation Council of India (MCI)</w:t>
      </w:r>
      <w:r>
        <w:rPr>
          <w:rFonts w:ascii="Calibri" w:hAnsi="Calibri"/>
          <w:b w:val="0"/>
          <w:i w:val="0"/>
          <w:color w:val="1B2A32"/>
          <w:sz w:val="21"/>
        </w:rPr>
        <w:t xml:space="preserve"> is the regulator that registers mediators and recognises and grades MSPs, and maintains a repository of settlement agreements. The Council is in the process of being constituted; until it is fully operational, Equator should build and run to the standard the Council will require, so that recognition and grading follow as a formality rather than a scramble.</w:t>
      </w:r>
    </w:p>
    <w:p>
      <w:pPr>
        <w:keepNext/>
        <w:spacing w:before="220" w:after="80"/>
      </w:pPr>
      <w:r>
        <w:rPr>
          <w:rFonts w:ascii="Calibri" w:hAnsi="Calibri"/>
          <w:b/>
          <w:i w:val="0"/>
          <w:color w:val="1E7A8C"/>
          <w:sz w:val="26"/>
        </w:rPr>
        <w:t>8.2   Time discipline</w:t>
      </w:r>
    </w:p>
    <w:p>
      <w:pPr>
        <w:spacing w:after="140"/>
        <w:jc w:val="both"/>
      </w:pPr>
      <w:r>
        <w:rPr>
          <w:rFonts w:ascii="Calibri" w:hAnsi="Calibri"/>
          <w:b w:val="0"/>
          <w:i w:val="0"/>
          <w:color w:val="1B2A32"/>
          <w:sz w:val="21"/>
        </w:rPr>
        <w:t xml:space="preserve">The Act imposes the time discipline that litigation lacks. Mediation is to be </w:t>
      </w:r>
      <w:r>
        <w:rPr>
          <w:rFonts w:ascii="Calibri" w:hAnsi="Calibri"/>
          <w:b/>
          <w:i w:val="0"/>
          <w:color w:val="1B2A32"/>
          <w:sz w:val="21"/>
        </w:rPr>
        <w:t>completed within 120 days</w:t>
      </w:r>
      <w:r>
        <w:rPr>
          <w:rFonts w:ascii="Calibri" w:hAnsi="Calibri"/>
          <w:b w:val="0"/>
          <w:i w:val="0"/>
          <w:color w:val="1B2A32"/>
          <w:sz w:val="21"/>
        </w:rPr>
        <w:t xml:space="preserve"> from the date fixed for the first appearance of the parties before the mediator, extendable by consent for a further period not exceeding </w:t>
      </w:r>
      <w:r>
        <w:rPr>
          <w:rFonts w:ascii="Calibri" w:hAnsi="Calibri"/>
          <w:b/>
          <w:i w:val="0"/>
          <w:color w:val="1B2A32"/>
          <w:sz w:val="21"/>
        </w:rPr>
        <w:t>60 days</w:t>
      </w:r>
      <w:r>
        <w:rPr>
          <w:rFonts w:ascii="Calibri" w:hAnsi="Calibri"/>
          <w:b w:val="0"/>
          <w:i w:val="0"/>
          <w:color w:val="1B2A32"/>
          <w:sz w:val="21"/>
        </w:rPr>
        <w:t xml:space="preserve"> — an outer limit of </w:t>
      </w:r>
      <w:r>
        <w:rPr>
          <w:rFonts w:ascii="Calibri" w:hAnsi="Calibri"/>
          <w:b/>
          <w:i w:val="0"/>
          <w:color w:val="1B2A32"/>
          <w:sz w:val="21"/>
        </w:rPr>
        <w:t>180 days</w:t>
      </w:r>
      <w:r>
        <w:rPr>
          <w:rFonts w:ascii="Calibri" w:hAnsi="Calibri"/>
          <w:b w:val="0"/>
          <w:i w:val="0"/>
          <w:color w:val="1B2A32"/>
          <w:sz w:val="21"/>
        </w:rPr>
        <w:t>. Equator overlays its own internal service levels on top of this statutory clock (Part C, Section 17), so that registration, notice, response and mediator appointment all happen on defined, short timelines rather than drifting.</w:t>
      </w:r>
    </w:p>
    <w:p>
      <w:pPr>
        <w:spacing w:before="80" w:after="40"/>
        <w:jc w:val="center"/>
      </w:pPr>
      <w:r>
        <w:drawing>
          <wp:inline xmlns:a="http://schemas.openxmlformats.org/drawingml/2006/main" xmlns:pic="http://schemas.openxmlformats.org/drawingml/2006/picture">
            <wp:extent cx="5943600" cy="2562133"/>
            <wp:docPr id="4" name="Picture 4"/>
            <wp:cNvGraphicFramePr>
              <a:graphicFrameLocks noChangeAspect="1"/>
            </wp:cNvGraphicFramePr>
            <a:graphic>
              <a:graphicData uri="http://schemas.openxmlformats.org/drawingml/2006/picture">
                <pic:pic>
                  <pic:nvPicPr>
                    <pic:cNvPr id="0" name="08_timeline.png"/>
                    <pic:cNvPicPr/>
                  </pic:nvPicPr>
                  <pic:blipFill>
                    <a:blip r:embed="rId12"/>
                    <a:stretch>
                      <a:fillRect/>
                    </a:stretch>
                  </pic:blipFill>
                  <pic:spPr>
                    <a:xfrm>
                      <a:off x="0" y="0"/>
                      <a:ext cx="5943600" cy="2562133"/>
                    </a:xfrm>
                    <a:prstGeom prst="rect"/>
                  </pic:spPr>
                </pic:pic>
              </a:graphicData>
            </a:graphic>
          </wp:inline>
        </w:drawing>
      </w:r>
    </w:p>
    <w:p>
      <w:pPr>
        <w:spacing w:before="20" w:after="200"/>
        <w:jc w:val="center"/>
      </w:pPr>
      <w:r>
        <w:rPr>
          <w:rFonts w:ascii="Calibri" w:hAnsi="Calibri"/>
          <w:b w:val="0"/>
          <w:i/>
          <w:color w:val="556168"/>
          <w:sz w:val="17"/>
        </w:rPr>
        <w:t>Figure 3 — The statutory 120+60 day clock, with Equator's internal SLAs on the front end.</w:t>
      </w:r>
    </w:p>
    <w:p>
      <w:pPr>
        <w:keepNext/>
        <w:spacing w:before="220" w:after="80"/>
      </w:pPr>
      <w:r>
        <w:rPr>
          <w:rFonts w:ascii="Calibri" w:hAnsi="Calibri"/>
          <w:b/>
          <w:i w:val="0"/>
          <w:color w:val="1E7A8C"/>
          <w:sz w:val="26"/>
        </w:rPr>
        <w:t>8.3   The Mediated Settlement Agreement: form, registration, enforcement, challenge</w:t>
      </w:r>
    </w:p>
    <w:p>
      <w:pPr>
        <w:spacing w:after="140"/>
        <w:jc w:val="both"/>
      </w:pPr>
      <w:r>
        <w:rPr>
          <w:rFonts w:ascii="Calibri" w:hAnsi="Calibri"/>
          <w:b w:val="0"/>
          <w:i w:val="0"/>
          <w:color w:val="1B2A32"/>
          <w:sz w:val="21"/>
        </w:rPr>
        <w:t xml:space="preserve">A settlement reached in mediation is reduced to a </w:t>
      </w:r>
      <w:r>
        <w:rPr>
          <w:rFonts w:ascii="Calibri" w:hAnsi="Calibri"/>
          <w:b/>
          <w:i w:val="0"/>
          <w:color w:val="1B2A32"/>
          <w:sz w:val="21"/>
        </w:rPr>
        <w:t>Mediated Settlement Agreement (MSA)</w:t>
      </w:r>
      <w:r>
        <w:rPr>
          <w:rFonts w:ascii="Calibri" w:hAnsi="Calibri"/>
          <w:b w:val="0"/>
          <w:i w:val="0"/>
          <w:color w:val="1B2A32"/>
          <w:sz w:val="21"/>
        </w:rPr>
        <w:t xml:space="preserve"> in writing, signed by the parties and authenticated by the mediator (s.19). It may be </w:t>
      </w:r>
      <w:r>
        <w:rPr>
          <w:rFonts w:ascii="Calibri" w:hAnsi="Calibri"/>
          <w:b/>
          <w:i w:val="0"/>
          <w:color w:val="1B2A32"/>
          <w:sz w:val="21"/>
        </w:rPr>
        <w:t>registered</w:t>
      </w:r>
      <w:r>
        <w:rPr>
          <w:rFonts w:ascii="Calibri" w:hAnsi="Calibri"/>
          <w:b w:val="0"/>
          <w:i w:val="0"/>
          <w:color w:val="1B2A32"/>
          <w:sz w:val="21"/>
        </w:rPr>
        <w:t xml:space="preserve"> with the competent authority, ordinarily within 180 days of receiving the authenticated copy (s.20). Once made, the MSA is </w:t>
      </w:r>
      <w:r>
        <w:rPr>
          <w:rFonts w:ascii="Calibri" w:hAnsi="Calibri"/>
          <w:b/>
          <w:i w:val="0"/>
          <w:color w:val="1B2A32"/>
          <w:sz w:val="21"/>
        </w:rPr>
        <w:t>final, binding and enforceable in the same manner as a judgment or decree of a court</w:t>
      </w:r>
      <w:r>
        <w:rPr>
          <w:rFonts w:ascii="Calibri" w:hAnsi="Calibri"/>
          <w:b w:val="0"/>
          <w:i w:val="0"/>
          <w:color w:val="1B2A32"/>
          <w:sz w:val="21"/>
        </w:rPr>
        <w:t xml:space="preserve"> (s.27) — the single most important feature of the Act for Equator's value proposition. The MSA can be </w:t>
      </w:r>
      <w:r>
        <w:rPr>
          <w:rFonts w:ascii="Calibri" w:hAnsi="Calibri"/>
          <w:b/>
          <w:i w:val="0"/>
          <w:color w:val="1B2A32"/>
          <w:sz w:val="21"/>
        </w:rPr>
        <w:t>challenged</w:t>
      </w:r>
      <w:r>
        <w:rPr>
          <w:rFonts w:ascii="Calibri" w:hAnsi="Calibri"/>
          <w:b w:val="0"/>
          <w:i w:val="0"/>
          <w:color w:val="1B2A32"/>
          <w:sz w:val="21"/>
        </w:rPr>
        <w:t xml:space="preserve"> only on narrow grounds — fraud, corruption, impersonation, or that the dispute was one not fit for mediation — and only within 90 days (extendable by a further 90) of receiving the agreement (s.28).</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Mediation Act, 2023: s.5 (pre-litigation mediation, voluntary with consent), s.6 &amp; First Schedule (disputes not fit for mediation), s.18/timeline (120 + 60 days), s.19 (MSA — writing, signature, authentication), s.20 (registration within 180 days), s.22 (confidentiality and its carve-outs), s.27 (enforceable as a decree), s.28 (challenge: grounds and 90+90-day limit).</w:t>
            </w:r>
          </w:p>
        </w:tc>
      </w:tr>
    </w:tbl>
    <w:p>
      <w:pPr>
        <w:spacing w:after="120"/>
      </w:pPr>
    </w:p>
    <w:p>
      <w:pPr>
        <w:keepNext/>
        <w:spacing w:before="220" w:after="80"/>
      </w:pPr>
      <w:r>
        <w:rPr>
          <w:rFonts w:ascii="Calibri" w:hAnsi="Calibri"/>
          <w:b/>
          <w:i w:val="0"/>
          <w:color w:val="1E7A8C"/>
          <w:sz w:val="26"/>
        </w:rPr>
        <w:t>8.4   Disputes not fit for mediation, and how family matters fit</w:t>
      </w:r>
    </w:p>
    <w:p>
      <w:pPr>
        <w:spacing w:after="140"/>
        <w:jc w:val="both"/>
      </w:pPr>
      <w:r>
        <w:rPr>
          <w:rFonts w:ascii="Calibri" w:hAnsi="Calibri"/>
          <w:b w:val="0"/>
          <w:i w:val="0"/>
          <w:color w:val="1B2A32"/>
          <w:sz w:val="21"/>
        </w:rPr>
        <w:t xml:space="preserve">Section 6, read with the First Schedule, lists matters </w:t>
      </w:r>
      <w:r>
        <w:rPr>
          <w:rFonts w:ascii="Calibri" w:hAnsi="Calibri"/>
          <w:b/>
          <w:i w:val="0"/>
          <w:color w:val="1B2A32"/>
          <w:sz w:val="21"/>
        </w:rPr>
        <w:t>not fit for mediation</w:t>
      </w:r>
      <w:r>
        <w:rPr>
          <w:rFonts w:ascii="Calibri" w:hAnsi="Calibri"/>
          <w:b w:val="0"/>
          <w:i w:val="0"/>
          <w:color w:val="1B2A32"/>
          <w:sz w:val="21"/>
        </w:rPr>
        <w:t xml:space="preserve"> — among them disputes involving minors or persons of unsound mind as parties, matters relating to the prosecution of criminal offences, disputes affecting the rights of third parties, certain regulatory and tax matters, and the like. This does </w:t>
      </w:r>
      <w:r>
        <w:rPr>
          <w:rFonts w:ascii="Calibri" w:hAnsi="Calibri"/>
          <w:b/>
          <w:i w:val="0"/>
          <w:color w:val="1B2A32"/>
          <w:sz w:val="21"/>
        </w:rPr>
        <w:t>not</w:t>
      </w:r>
      <w:r>
        <w:rPr>
          <w:rFonts w:ascii="Calibri" w:hAnsi="Calibri"/>
          <w:b w:val="0"/>
          <w:i w:val="0"/>
          <w:color w:val="1B2A32"/>
          <w:sz w:val="21"/>
        </w:rPr>
        <w:t xml:space="preserve"> shut family disputes out of mediation: matrimonial disputes of a civil character — divorce terms, maintenance, custody arrangements, property and streedhan — are squarely mediatable, and the Act expressly preserves a court's power to refer even </w:t>
      </w:r>
      <w:r>
        <w:rPr>
          <w:rFonts w:ascii="Calibri" w:hAnsi="Calibri"/>
          <w:b/>
          <w:i w:val="0"/>
          <w:color w:val="1B2A32"/>
          <w:sz w:val="21"/>
        </w:rPr>
        <w:t>compoundable matrimonial offences</w:t>
      </w:r>
      <w:r>
        <w:rPr>
          <w:rFonts w:ascii="Calibri" w:hAnsi="Calibri"/>
          <w:b w:val="0"/>
          <w:i w:val="0"/>
          <w:color w:val="1B2A32"/>
          <w:sz w:val="21"/>
        </w:rPr>
        <w:t xml:space="preserve"> to mediation. What the Schedule means for Equator is precise </w:t>
      </w:r>
      <w:r>
        <w:rPr>
          <w:rFonts w:ascii="Calibri" w:hAnsi="Calibri"/>
          <w:b/>
          <w:i w:val="0"/>
          <w:color w:val="1B2A32"/>
          <w:sz w:val="21"/>
        </w:rPr>
        <w:t>triage</w:t>
      </w:r>
      <w:r>
        <w:rPr>
          <w:rFonts w:ascii="Calibri" w:hAnsi="Calibri"/>
          <w:b w:val="0"/>
          <w:i w:val="0"/>
          <w:color w:val="1B2A32"/>
          <w:sz w:val="21"/>
        </w:rPr>
        <w:t xml:space="preserve">: the civil marital dispute is mediated on the platform; the criminal case is not itself 'mediated', but its </w:t>
      </w:r>
      <w:r>
        <w:rPr>
          <w:rFonts w:ascii="Calibri" w:hAnsi="Calibri"/>
          <w:b/>
          <w:i w:val="0"/>
          <w:color w:val="1B2A32"/>
          <w:sz w:val="21"/>
        </w:rPr>
        <w:t>withdrawal, compounding or quashing</w:t>
      </w:r>
      <w:r>
        <w:rPr>
          <w:rFonts w:ascii="Calibri" w:hAnsi="Calibri"/>
          <w:b w:val="0"/>
          <w:i w:val="0"/>
          <w:color w:val="1B2A32"/>
          <w:sz w:val="21"/>
        </w:rPr>
        <w:t xml:space="preserve"> is captured as a term of the civil settlement and effected through the court (Part C, Section 20). This is the analytical hinge on which the whole Equator family model turns.</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Design rule: Equator mediates the </w:t>
            </w:r>
            <w:r>
              <w:rPr>
                <w:rFonts w:ascii="Calibri" w:hAnsi="Calibri"/>
                <w:b/>
                <w:i w:val="0"/>
                <w:color w:val="1B2A32"/>
                <w:sz w:val="20"/>
              </w:rPr>
              <w:t>civil marital dispute</w:t>
            </w:r>
            <w:r>
              <w:rPr>
                <w:rFonts w:ascii="Calibri" w:hAnsi="Calibri"/>
                <w:b w:val="0"/>
                <w:i w:val="0"/>
                <w:color w:val="1B2A32"/>
                <w:sz w:val="20"/>
              </w:rPr>
              <w:t>; it never purports to 'mediate a crime'. The MSA records the parties' agreement to withdraw/compound/seek quashing of criminal proceedings, and the actual closure is obtained from the competent criminal court. This keeps Equator squarely within s.6 and the First Schedule.</w:t>
            </w:r>
          </w:p>
        </w:tc>
      </w:tr>
    </w:tbl>
    <w:p>
      <w:pPr>
        <w:spacing w:after="120"/>
      </w:pPr>
    </w:p>
    <w:p>
      <w:pPr>
        <w:keepNext/>
        <w:spacing w:before="320" w:after="140"/>
        <w:pBdr>
          <w:bottom w:val="single" w:sz="12" w:space="3" w:color="C6A15B"/>
        </w:pBdr>
      </w:pPr>
      <w:r>
        <w:rPr>
          <w:rFonts w:ascii="Calibri" w:hAnsi="Calibri"/>
          <w:b/>
          <w:i w:val="0"/>
          <w:color w:val="123B4F"/>
          <w:sz w:val="34"/>
        </w:rPr>
        <w:t>9.  Data Protection &amp; Privacy (DPDP Act 2023 / Rules 2025)</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Divorce data is about as sensitive as personal data gets — allegations, finances, children, health, sometimes abuse. India's data-protection law now requires clear </w:t>
            </w:r>
            <w:r>
              <w:rPr>
                <w:rFonts w:ascii="Calibri" w:hAnsi="Calibri"/>
                <w:b/>
                <w:i w:val="0"/>
                <w:color w:val="1B2A32"/>
                <w:sz w:val="20"/>
              </w:rPr>
              <w:t>consent</w:t>
            </w:r>
            <w:r>
              <w:rPr>
                <w:rFonts w:ascii="Calibri" w:hAnsi="Calibri"/>
                <w:b w:val="0"/>
                <w:i w:val="0"/>
                <w:color w:val="1B2A32"/>
                <w:sz w:val="20"/>
              </w:rPr>
              <w:t xml:space="preserve">, collecting </w:t>
            </w:r>
            <w:r>
              <w:rPr>
                <w:rFonts w:ascii="Calibri" w:hAnsi="Calibri"/>
                <w:b/>
                <w:i w:val="0"/>
                <w:color w:val="1B2A32"/>
                <w:sz w:val="20"/>
              </w:rPr>
              <w:t>only what is needed</w:t>
            </w:r>
            <w:r>
              <w:rPr>
                <w:rFonts w:ascii="Calibri" w:hAnsi="Calibri"/>
                <w:b w:val="0"/>
                <w:i w:val="0"/>
                <w:color w:val="1B2A32"/>
                <w:sz w:val="20"/>
              </w:rPr>
              <w:t xml:space="preserve">, keeping it </w:t>
            </w:r>
            <w:r>
              <w:rPr>
                <w:rFonts w:ascii="Calibri" w:hAnsi="Calibri"/>
                <w:b/>
                <w:i w:val="0"/>
                <w:color w:val="1B2A32"/>
                <w:sz w:val="20"/>
              </w:rPr>
              <w:t>secure</w:t>
            </w:r>
            <w:r>
              <w:rPr>
                <w:rFonts w:ascii="Calibri" w:hAnsi="Calibri"/>
                <w:b w:val="0"/>
                <w:i w:val="0"/>
                <w:color w:val="1B2A32"/>
                <w:sz w:val="20"/>
              </w:rPr>
              <w:t xml:space="preserve">, honouring people's </w:t>
            </w:r>
            <w:r>
              <w:rPr>
                <w:rFonts w:ascii="Calibri" w:hAnsi="Calibri"/>
                <w:b/>
                <w:i w:val="0"/>
                <w:color w:val="1B2A32"/>
                <w:sz w:val="20"/>
              </w:rPr>
              <w:t>rights</w:t>
            </w:r>
            <w:r>
              <w:rPr>
                <w:rFonts w:ascii="Calibri" w:hAnsi="Calibri"/>
                <w:b w:val="0"/>
                <w:i w:val="0"/>
                <w:color w:val="1B2A32"/>
                <w:sz w:val="20"/>
              </w:rPr>
              <w:t xml:space="preserve"> over their data, special care for </w:t>
            </w:r>
            <w:r>
              <w:rPr>
                <w:rFonts w:ascii="Calibri" w:hAnsi="Calibri"/>
                <w:b/>
                <w:i w:val="0"/>
                <w:color w:val="1B2A32"/>
                <w:sz w:val="20"/>
              </w:rPr>
              <w:t>children's</w:t>
            </w:r>
            <w:r>
              <w:rPr>
                <w:rFonts w:ascii="Calibri" w:hAnsi="Calibri"/>
                <w:b w:val="0"/>
                <w:i w:val="0"/>
                <w:color w:val="1B2A32"/>
                <w:sz w:val="20"/>
              </w:rPr>
              <w:t xml:space="preserve"> data, and prompt </w:t>
            </w:r>
            <w:r>
              <w:rPr>
                <w:rFonts w:ascii="Calibri" w:hAnsi="Calibri"/>
                <w:b/>
                <w:i w:val="0"/>
                <w:color w:val="1B2A32"/>
                <w:sz w:val="20"/>
              </w:rPr>
              <w:t>breach reporting</w:t>
            </w:r>
            <w:r>
              <w:rPr>
                <w:rFonts w:ascii="Calibri" w:hAnsi="Calibri"/>
                <w:b w:val="0"/>
                <w:i w:val="0"/>
                <w:color w:val="1B2A32"/>
                <w:sz w:val="20"/>
              </w:rPr>
              <w:t>. Equator must be built to this from day one.</w:t>
            </w:r>
          </w:p>
        </w:tc>
      </w:tr>
    </w:tbl>
    <w:p>
      <w:pPr>
        <w:spacing w:after="120"/>
      </w:pPr>
    </w:p>
    <w:p>
      <w:pPr>
        <w:spacing w:after="140"/>
        <w:jc w:val="both"/>
      </w:pPr>
      <w:r>
        <w:rPr>
          <w:rFonts w:ascii="Calibri" w:hAnsi="Calibri"/>
          <w:b w:val="0"/>
          <w:i w:val="0"/>
          <w:color w:val="1B2A32"/>
          <w:sz w:val="21"/>
        </w:rPr>
        <w:t xml:space="preserve">The Digital Personal Data Protection Act, 2023, with its Rules notified in 2025, governs how Equator collects and processes personal data. As a </w:t>
      </w:r>
      <w:r>
        <w:rPr>
          <w:rFonts w:ascii="Calibri" w:hAnsi="Calibri"/>
          <w:b/>
          <w:i w:val="0"/>
          <w:color w:val="1B2A32"/>
          <w:sz w:val="21"/>
        </w:rPr>
        <w:t>Data Fiduciary</w:t>
      </w:r>
      <w:r>
        <w:rPr>
          <w:rFonts w:ascii="Calibri" w:hAnsi="Calibri"/>
          <w:b w:val="0"/>
          <w:i w:val="0"/>
          <w:color w:val="1B2A32"/>
          <w:sz w:val="21"/>
        </w:rPr>
        <w:t xml:space="preserve">, Equator must give each party a clear, itemised </w:t>
      </w:r>
      <w:r>
        <w:rPr>
          <w:rFonts w:ascii="Calibri" w:hAnsi="Calibri"/>
          <w:b/>
          <w:i w:val="0"/>
          <w:color w:val="1B2A32"/>
          <w:sz w:val="21"/>
        </w:rPr>
        <w:t>notice</w:t>
      </w:r>
      <w:r>
        <w:rPr>
          <w:rFonts w:ascii="Calibri" w:hAnsi="Calibri"/>
          <w:b w:val="0"/>
          <w:i w:val="0"/>
          <w:color w:val="1B2A32"/>
          <w:sz w:val="21"/>
        </w:rPr>
        <w:t xml:space="preserve"> of what data is collected and why, and obtain </w:t>
      </w:r>
      <w:r>
        <w:rPr>
          <w:rFonts w:ascii="Calibri" w:hAnsi="Calibri"/>
          <w:b/>
          <w:i w:val="0"/>
          <w:color w:val="1B2A32"/>
          <w:sz w:val="21"/>
        </w:rPr>
        <w:t>free, specific, informed and withdrawable consent</w:t>
      </w:r>
      <w:r>
        <w:rPr>
          <w:rFonts w:ascii="Calibri" w:hAnsi="Calibri"/>
          <w:b w:val="0"/>
          <w:i w:val="0"/>
          <w:color w:val="1B2A32"/>
          <w:sz w:val="21"/>
        </w:rPr>
        <w:t xml:space="preserve">; it must practise </w:t>
      </w:r>
      <w:r>
        <w:rPr>
          <w:rFonts w:ascii="Calibri" w:hAnsi="Calibri"/>
          <w:b/>
          <w:i w:val="0"/>
          <w:color w:val="1B2A32"/>
          <w:sz w:val="21"/>
        </w:rPr>
        <w:t>purpose limitation and data minimisation</w:t>
      </w:r>
      <w:r>
        <w:rPr>
          <w:rFonts w:ascii="Calibri" w:hAnsi="Calibri"/>
          <w:b w:val="0"/>
          <w:i w:val="0"/>
          <w:color w:val="1B2A32"/>
          <w:sz w:val="21"/>
        </w:rPr>
        <w:t xml:space="preserve">, collecting only what the mediation genuinely requires; it must implement reasonable </w:t>
      </w:r>
      <w:r>
        <w:rPr>
          <w:rFonts w:ascii="Calibri" w:hAnsi="Calibri"/>
          <w:b/>
          <w:i w:val="0"/>
          <w:color w:val="1B2A32"/>
          <w:sz w:val="21"/>
        </w:rPr>
        <w:t>security safeguards</w:t>
      </w:r>
      <w:r>
        <w:rPr>
          <w:rFonts w:ascii="Calibri" w:hAnsi="Calibri"/>
          <w:b w:val="0"/>
          <w:i w:val="0"/>
          <w:color w:val="1B2A32"/>
          <w:sz w:val="21"/>
        </w:rPr>
        <w:t xml:space="preserve"> (encryption, role-based access, audit logging); it must honour </w:t>
      </w:r>
      <w:r>
        <w:rPr>
          <w:rFonts w:ascii="Calibri" w:hAnsi="Calibri"/>
          <w:b/>
          <w:i w:val="0"/>
          <w:color w:val="1B2A32"/>
          <w:sz w:val="21"/>
        </w:rPr>
        <w:t>data-principal rights</w:t>
      </w:r>
      <w:r>
        <w:rPr>
          <w:rFonts w:ascii="Calibri" w:hAnsi="Calibri"/>
          <w:b w:val="0"/>
          <w:i w:val="0"/>
          <w:color w:val="1B2A32"/>
          <w:sz w:val="21"/>
        </w:rPr>
        <w:t xml:space="preserve"> of access, correction, erasure, grievance redress and nomination; it must take special care with </w:t>
      </w:r>
      <w:r>
        <w:rPr>
          <w:rFonts w:ascii="Calibri" w:hAnsi="Calibri"/>
          <w:b/>
          <w:i w:val="0"/>
          <w:color w:val="1B2A32"/>
          <w:sz w:val="21"/>
        </w:rPr>
        <w:t>children's data</w:t>
      </w:r>
      <w:r>
        <w:rPr>
          <w:rFonts w:ascii="Calibri" w:hAnsi="Calibri"/>
          <w:b w:val="0"/>
          <w:i w:val="0"/>
          <w:color w:val="1B2A32"/>
          <w:sz w:val="21"/>
        </w:rPr>
        <w:t xml:space="preserve">, obtaining verifiable parental consent and avoiding tracking or targeted advertising directed at children; it must observe </w:t>
      </w:r>
      <w:r>
        <w:rPr>
          <w:rFonts w:ascii="Calibri" w:hAnsi="Calibri"/>
          <w:b/>
          <w:i w:val="0"/>
          <w:color w:val="1B2A32"/>
          <w:sz w:val="21"/>
        </w:rPr>
        <w:t>retention limits</w:t>
      </w:r>
      <w:r>
        <w:rPr>
          <w:rFonts w:ascii="Calibri" w:hAnsi="Calibri"/>
          <w:b w:val="0"/>
          <w:i w:val="0"/>
          <w:color w:val="1B2A32"/>
          <w:sz w:val="21"/>
        </w:rPr>
        <w:t xml:space="preserve"> and securely erase data once the purpose is served; and it must </w:t>
      </w:r>
      <w:r>
        <w:rPr>
          <w:rFonts w:ascii="Calibri" w:hAnsi="Calibri"/>
          <w:b/>
          <w:i w:val="0"/>
          <w:color w:val="1B2A32"/>
          <w:sz w:val="21"/>
        </w:rPr>
        <w:t>notify</w:t>
      </w:r>
      <w:r>
        <w:rPr>
          <w:rFonts w:ascii="Calibri" w:hAnsi="Calibri"/>
          <w:b w:val="0"/>
          <w:i w:val="0"/>
          <w:color w:val="1B2A32"/>
          <w:sz w:val="21"/>
        </w:rPr>
        <w:t xml:space="preserve"> the Data Protection Board of India and affected persons of any personal-data breach. The Rules phase these obligations in through 2026 and 2027, but Equator's build should assume the full standard now.</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Digital Personal Data Protection Act, 2023; Digital Personal Data Protection Rules, 2025 (notified 13 November 2025, phased: Data Protection Board operational from Nov 2025; Consent Managers from Nov 2026; core Data-Fiduciary obligations from May 2027). Concepts: Data Fiduciary, Data Principal, Consent Manager, Significant Data Fiduciary, verifiable parental consent, breach notification.</w:t>
            </w:r>
          </w:p>
        </w:tc>
      </w:tr>
    </w:tbl>
    <w:p>
      <w:pPr>
        <w:spacing w:after="120"/>
      </w:pPr>
    </w:p>
    <w:p>
      <w:pPr>
        <w:spacing w:before="80" w:after="40"/>
        <w:jc w:val="center"/>
      </w:pPr>
      <w:r>
        <w:drawing>
          <wp:inline xmlns:a="http://schemas.openxmlformats.org/drawingml/2006/main" xmlns:pic="http://schemas.openxmlformats.org/drawingml/2006/picture">
            <wp:extent cx="5943600" cy="737100"/>
            <wp:docPr id="5" name="Picture 5"/>
            <wp:cNvGraphicFramePr>
              <a:graphicFrameLocks noChangeAspect="1"/>
            </wp:cNvGraphicFramePr>
            <a:graphic>
              <a:graphicData uri="http://schemas.openxmlformats.org/drawingml/2006/picture">
                <pic:pic>
                  <pic:nvPicPr>
                    <pic:cNvPr id="0" name="07_data_protection.png"/>
                    <pic:cNvPicPr/>
                  </pic:nvPicPr>
                  <pic:blipFill>
                    <a:blip r:embed="rId13"/>
                    <a:stretch>
                      <a:fillRect/>
                    </a:stretch>
                  </pic:blipFill>
                  <pic:spPr>
                    <a:xfrm>
                      <a:off x="0" y="0"/>
                      <a:ext cx="5943600" cy="737100"/>
                    </a:xfrm>
                    <a:prstGeom prst="rect"/>
                  </pic:spPr>
                </pic:pic>
              </a:graphicData>
            </a:graphic>
          </wp:inline>
        </w:drawing>
      </w:r>
    </w:p>
    <w:p>
      <w:pPr>
        <w:spacing w:before="20" w:after="200"/>
        <w:jc w:val="center"/>
      </w:pPr>
      <w:r>
        <w:rPr>
          <w:rFonts w:ascii="Calibri" w:hAnsi="Calibri"/>
          <w:b w:val="0"/>
          <w:i/>
          <w:color w:val="556168"/>
          <w:sz w:val="17"/>
        </w:rPr>
        <w:t>Figure 4 — The DPDP data lifecycle Equator implements end-to-end.</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Because matrimonial files routinely contain a child's data, financial records and allegations of abuse, Equator should treat this data as </w:t>
            </w:r>
            <w:r>
              <w:rPr>
                <w:rFonts w:ascii="Calibri" w:hAnsi="Calibri"/>
                <w:b/>
                <w:i w:val="0"/>
                <w:color w:val="1B2A32"/>
                <w:sz w:val="20"/>
              </w:rPr>
              <w:t>high-sensitivity</w:t>
            </w:r>
            <w:r>
              <w:rPr>
                <w:rFonts w:ascii="Calibri" w:hAnsi="Calibri"/>
                <w:b w:val="0"/>
                <w:i w:val="0"/>
                <w:color w:val="1B2A32"/>
                <w:sz w:val="20"/>
              </w:rPr>
              <w:t>, apply strict need-to-know access (a party never sees the other's private caucus notes), and keep the confidentiality of mediation (Mediation Act s.22) and the DPDP obligations working together rather than in tension.</w:t>
            </w:r>
          </w:p>
        </w:tc>
      </w:tr>
    </w:tbl>
    <w:p>
      <w:pPr>
        <w:spacing w:after="120"/>
      </w:pPr>
    </w:p>
    <w:p>
      <w:pPr>
        <w:keepNext/>
        <w:spacing w:before="220" w:after="80"/>
      </w:pPr>
      <w:r>
        <w:rPr>
          <w:rFonts w:ascii="Calibri" w:hAnsi="Calibri"/>
          <w:b/>
          <w:i w:val="0"/>
          <w:color w:val="1E7A8C"/>
          <w:sz w:val="26"/>
        </w:rPr>
        <w:t>9.1   Data-retention schedule</w:t>
      </w:r>
    </w:p>
    <w:p>
      <w:pPr>
        <w:spacing w:after="140"/>
        <w:jc w:val="both"/>
      </w:pPr>
      <w:r>
        <w:rPr>
          <w:rFonts w:ascii="Calibri" w:hAnsi="Calibri"/>
          <w:b w:val="0"/>
          <w:i w:val="0"/>
          <w:color w:val="1B2A32"/>
          <w:sz w:val="21"/>
        </w:rPr>
        <w:t>Data is retained only as long as the purpose and the law require, then securely erased. The indicative schedule below should be finalised with counsel and published in the privacy notice.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Data category</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7"/>
              </w:rPr>
              <w:t>Indicative retention</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7"/>
              </w:rPr>
              <w:t>Rationale</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Account &amp; KYC identity data</w:t>
            </w:r>
          </w:p>
        </w:tc>
        <w:tc>
          <w:tcPr>
            <w:tcW w:type="dxa" w:w="3612"/>
            <w:tcMar>
              <w:top w:w="60" w:type="dxa"/>
              <w:bottom w:w="60" w:type="dxa"/>
              <w:start w:w="110" w:type="dxa"/>
              <w:end w:w="110" w:type="dxa"/>
            </w:tcMar>
          </w:tcPr>
          <w:p>
            <w:pPr>
              <w:spacing w:after="0"/>
              <w:jc w:val="left"/>
            </w:pPr>
            <w:r>
              <w:rPr>
                <w:rFonts w:ascii="Calibri" w:hAnsi="Calibri"/>
                <w:b w:val="0"/>
                <w:i w:val="0"/>
                <w:color w:val="1B2A32"/>
                <w:sz w:val="17"/>
              </w:rPr>
              <w:t>Duration of relationship + as required by KYC/PMLA</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Verification &amp; statutory record</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Case file &amp; documents (settled)</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Retain per limitation for enforcement/challenge (s.28 window + enforcement)</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Enforceability &amp; challenge defence</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Mediated Settlement Agreement</w:t>
            </w:r>
          </w:p>
        </w:tc>
        <w:tc>
          <w:tcPr>
            <w:tcW w:type="dxa" w:w="3612"/>
            <w:tcMar>
              <w:top w:w="60" w:type="dxa"/>
              <w:bottom w:w="60" w:type="dxa"/>
              <w:start w:w="110" w:type="dxa"/>
              <w:end w:w="110" w:type="dxa"/>
            </w:tcMar>
          </w:tcPr>
          <w:p>
            <w:pPr>
              <w:spacing w:after="0"/>
              <w:jc w:val="left"/>
            </w:pPr>
            <w:r>
              <w:rPr>
                <w:rFonts w:ascii="Calibri" w:hAnsi="Calibri"/>
                <w:b w:val="0"/>
                <w:i w:val="0"/>
                <w:color w:val="1B2A32"/>
                <w:sz w:val="17"/>
              </w:rPr>
              <w:t>Long-term, per registration/repository requirements</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Enforceable-as-decree instrument</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Non-settled / withdrawn case data</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Short retention, then erase (confidentiality preserved)</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Minimisation; nothing to enforce</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Session recordings (if any)</w:t>
            </w:r>
          </w:p>
        </w:tc>
        <w:tc>
          <w:tcPr>
            <w:tcW w:type="dxa" w:w="3612"/>
            <w:tcMar>
              <w:top w:w="60" w:type="dxa"/>
              <w:bottom w:w="60" w:type="dxa"/>
              <w:start w:w="110" w:type="dxa"/>
              <w:end w:w="110" w:type="dxa"/>
            </w:tcMar>
          </w:tcPr>
          <w:p>
            <w:pPr>
              <w:spacing w:after="0"/>
              <w:jc w:val="left"/>
            </w:pPr>
            <w:r>
              <w:rPr>
                <w:rFonts w:ascii="Calibri" w:hAnsi="Calibri"/>
                <w:b w:val="0"/>
                <w:i w:val="0"/>
                <w:color w:val="1B2A32"/>
                <w:sz w:val="17"/>
              </w:rPr>
              <w:t>Erase after minutes finalised, per F-20 consent</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Purpose limitation</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Children's data</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Strict minimisation; erase with the case</w:t>
            </w:r>
          </w:p>
        </w:tc>
        <w:tc>
          <w:tcPr>
            <w:tcW w:type="dxa" w:w="304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Heightened protection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Marketing / analytics (aggregated)</w:t>
            </w:r>
          </w:p>
        </w:tc>
        <w:tc>
          <w:tcPr>
            <w:tcW w:type="dxa" w:w="3612"/>
            <w:tcMar>
              <w:top w:w="60" w:type="dxa"/>
              <w:bottom w:w="60" w:type="dxa"/>
              <w:start w:w="110" w:type="dxa"/>
              <w:end w:w="110" w:type="dxa"/>
            </w:tcMar>
          </w:tcPr>
          <w:p>
            <w:pPr>
              <w:spacing w:after="0"/>
              <w:jc w:val="left"/>
            </w:pPr>
            <w:r>
              <w:rPr>
                <w:rFonts w:ascii="Calibri" w:hAnsi="Calibri"/>
                <w:b w:val="0"/>
                <w:i w:val="0"/>
                <w:color w:val="1B2A32"/>
                <w:sz w:val="17"/>
              </w:rPr>
              <w:t>Anonymised; no individual retention</w:t>
            </w:r>
          </w:p>
        </w:tc>
        <w:tc>
          <w:tcPr>
            <w:tcW w:type="dxa" w:w="3041"/>
            <w:tcMar>
              <w:top w:w="60" w:type="dxa"/>
              <w:bottom w:w="60" w:type="dxa"/>
              <w:start w:w="110" w:type="dxa"/>
              <w:end w:w="110" w:type="dxa"/>
            </w:tcMar>
          </w:tcPr>
          <w:p>
            <w:pPr>
              <w:spacing w:after="0"/>
              <w:jc w:val="left"/>
            </w:pPr>
            <w:r>
              <w:rPr>
                <w:rFonts w:ascii="Calibri" w:hAnsi="Calibri"/>
                <w:b w:val="0"/>
                <w:i w:val="0"/>
                <w:color w:val="1B2A32"/>
                <w:sz w:val="17"/>
              </w:rPr>
              <w:t>Not personal data once anonymised</w:t>
            </w:r>
          </w:p>
        </w:tc>
      </w:tr>
    </w:tbl>
    <w:p>
      <w:pPr>
        <w:spacing w:after="80"/>
      </w:pPr>
    </w:p>
    <w:p>
      <w:pPr>
        <w:spacing w:before="20" w:after="200"/>
        <w:jc w:val="center"/>
      </w:pPr>
      <w:r>
        <w:rPr>
          <w:rFonts w:ascii="Calibri" w:hAnsi="Calibri"/>
          <w:b w:val="0"/>
          <w:i/>
          <w:color w:val="556168"/>
          <w:sz w:val="17"/>
        </w:rPr>
        <w:t>Table — Indicative DPDP retention schedule (finalise with counsel).</w:t>
      </w:r>
    </w:p>
    <w:p>
      <w:pPr>
        <w:keepNext/>
        <w:spacing w:before="220" w:after="80"/>
      </w:pPr>
      <w:r>
        <w:rPr>
          <w:rFonts w:ascii="Calibri" w:hAnsi="Calibri"/>
          <w:b/>
          <w:i w:val="0"/>
          <w:color w:val="1E7A8C"/>
          <w:sz w:val="26"/>
        </w:rPr>
        <w:t>9.2   Data Protection Impact Assessment (DPIA) — template</w:t>
      </w:r>
    </w:p>
    <w:p>
      <w:pPr>
        <w:spacing w:after="140"/>
        <w:jc w:val="both"/>
      </w:pPr>
      <w:r>
        <w:rPr>
          <w:rFonts w:ascii="Calibri" w:hAnsi="Calibri"/>
          <w:b w:val="0"/>
          <w:i w:val="0"/>
          <w:color w:val="1B2A32"/>
          <w:sz w:val="21"/>
        </w:rPr>
        <w:t>Because Equator processes sensitive matrimonial data at scale, it should complete a DPIA before launch and on any material change, and is likely to be treated as a Significant Data Fiduciary. A DPIA answers, at minimum:</w:t>
      </w:r>
    </w:p>
    <w:p>
      <w:pPr>
        <w:pStyle w:val="ListBullet"/>
        <w:spacing w:after="60"/>
        <w:jc w:val="both"/>
      </w:pPr>
      <w:r>
        <w:rPr>
          <w:rFonts w:ascii="Calibri" w:hAnsi="Calibri"/>
          <w:b/>
          <w:i w:val="0"/>
          <w:color w:val="123B4F"/>
          <w:sz w:val="21"/>
        </w:rPr>
        <w:t xml:space="preserve">Processing description: </w:t>
      </w:r>
      <w:r>
        <w:rPr>
          <w:rFonts w:ascii="Calibri" w:hAnsi="Calibri"/>
          <w:b w:val="0"/>
          <w:i w:val="0"/>
          <w:color w:val="1B2A32"/>
          <w:sz w:val="21"/>
        </w:rPr>
        <w:t>what data, from whom, for what purpose, by which systems and processors.</w:t>
      </w:r>
    </w:p>
    <w:p>
      <w:pPr>
        <w:pStyle w:val="ListBullet"/>
        <w:spacing w:after="60"/>
        <w:jc w:val="both"/>
      </w:pPr>
      <w:r>
        <w:rPr>
          <w:rFonts w:ascii="Calibri" w:hAnsi="Calibri"/>
          <w:b/>
          <w:i w:val="0"/>
          <w:color w:val="123B4F"/>
          <w:sz w:val="21"/>
        </w:rPr>
        <w:t xml:space="preserve">Necessity &amp; proportionality: </w:t>
      </w:r>
      <w:r>
        <w:rPr>
          <w:rFonts w:ascii="Calibri" w:hAnsi="Calibri"/>
          <w:b w:val="0"/>
          <w:i w:val="0"/>
          <w:color w:val="1B2A32"/>
          <w:sz w:val="21"/>
        </w:rPr>
        <w:t>is each data item necessary; can less be collected (minimisation)?</w:t>
      </w:r>
    </w:p>
    <w:p>
      <w:pPr>
        <w:pStyle w:val="ListBullet"/>
        <w:spacing w:after="60"/>
        <w:jc w:val="both"/>
      </w:pPr>
      <w:r>
        <w:rPr>
          <w:rFonts w:ascii="Calibri" w:hAnsi="Calibri"/>
          <w:b/>
          <w:i w:val="0"/>
          <w:color w:val="123B4F"/>
          <w:sz w:val="21"/>
        </w:rPr>
        <w:t xml:space="preserve">Risks to data principals: </w:t>
      </w:r>
      <w:r>
        <w:rPr>
          <w:rFonts w:ascii="Calibri" w:hAnsi="Calibri"/>
          <w:b w:val="0"/>
          <w:i w:val="0"/>
          <w:color w:val="1B2A32"/>
          <w:sz w:val="21"/>
        </w:rPr>
        <w:t>re-identification, breach, misuse of children's or abuse-related data, coercion.</w:t>
      </w:r>
    </w:p>
    <w:p>
      <w:pPr>
        <w:pStyle w:val="ListBullet"/>
        <w:spacing w:after="60"/>
        <w:jc w:val="both"/>
      </w:pPr>
      <w:r>
        <w:rPr>
          <w:rFonts w:ascii="Calibri" w:hAnsi="Calibri"/>
          <w:b/>
          <w:i w:val="0"/>
          <w:color w:val="123B4F"/>
          <w:sz w:val="21"/>
        </w:rPr>
        <w:t xml:space="preserve">Mitigations: </w:t>
      </w:r>
      <w:r>
        <w:rPr>
          <w:rFonts w:ascii="Calibri" w:hAnsi="Calibri"/>
          <w:b w:val="0"/>
          <w:i w:val="0"/>
          <w:color w:val="1B2A32"/>
          <w:sz w:val="21"/>
        </w:rPr>
        <w:t>encryption, RBAC, caucus-note walls, retention limits, breach protocol, consent design.</w:t>
      </w:r>
    </w:p>
    <w:p>
      <w:pPr>
        <w:pStyle w:val="ListBullet"/>
        <w:spacing w:after="60"/>
        <w:jc w:val="both"/>
      </w:pPr>
      <w:r>
        <w:rPr>
          <w:rFonts w:ascii="Calibri" w:hAnsi="Calibri"/>
          <w:b/>
          <w:i w:val="0"/>
          <w:color w:val="123B4F"/>
          <w:sz w:val="21"/>
        </w:rPr>
        <w:t xml:space="preserve">Children's data: </w:t>
      </w:r>
      <w:r>
        <w:rPr>
          <w:rFonts w:ascii="Calibri" w:hAnsi="Calibri"/>
          <w:b w:val="0"/>
          <w:i w:val="0"/>
          <w:color w:val="1B2A32"/>
          <w:sz w:val="21"/>
        </w:rPr>
        <w:t>verifiable parental consent; no tracking or targeted advertising to children.</w:t>
      </w:r>
    </w:p>
    <w:p>
      <w:pPr>
        <w:pStyle w:val="ListBullet"/>
        <w:spacing w:after="60"/>
        <w:jc w:val="both"/>
      </w:pPr>
      <w:r>
        <w:rPr>
          <w:rFonts w:ascii="Calibri" w:hAnsi="Calibri"/>
          <w:b/>
          <w:i w:val="0"/>
          <w:color w:val="123B4F"/>
          <w:sz w:val="21"/>
        </w:rPr>
        <w:t xml:space="preserve">Residual risk &amp; sign-off: </w:t>
      </w:r>
      <w:r>
        <w:rPr>
          <w:rFonts w:ascii="Calibri" w:hAnsi="Calibri"/>
          <w:b w:val="0"/>
          <w:i w:val="0"/>
          <w:color w:val="1B2A32"/>
          <w:sz w:val="21"/>
        </w:rPr>
        <w:t>accepted residual risk, DPO review, and periodic re-assessment date.</w:t>
      </w:r>
    </w:p>
    <w:p>
      <w:pPr>
        <w:spacing w:after="40"/>
      </w:pPr>
    </w:p>
    <w:p>
      <w:r>
        <w:br w:type="page"/>
      </w:r>
    </w:p>
    <w:p>
      <w:pPr>
        <w:spacing w:before="600" w:after="40"/>
      </w:pPr>
      <w:r>
        <w:rPr>
          <w:rFonts w:ascii="Calibri" w:hAnsi="Calibri"/>
          <w:b/>
          <w:i w:val="0"/>
          <w:color w:val="C6A15B"/>
          <w:sz w:val="26"/>
        </w:rPr>
        <w:t>PART C</w:t>
      </w:r>
    </w:p>
    <w:p>
      <w:pPr>
        <w:spacing w:after="200"/>
        <w:pBdr>
          <w:bottom w:val="single" w:sz="18" w:space="3" w:color="1E7A8C"/>
        </w:pBdr>
      </w:pPr>
      <w:r>
        <w:rPr>
          <w:rFonts w:ascii="Calibri" w:hAnsi="Calibri"/>
          <w:b/>
          <w:i w:val="0"/>
          <w:color w:val="123B4F"/>
          <w:sz w:val="46"/>
        </w:rPr>
        <w:t>The Platform &amp; Procedure</w:t>
      </w:r>
    </w:p>
    <w:p>
      <w:pPr>
        <w:keepNext/>
        <w:spacing w:before="320" w:after="140"/>
        <w:pBdr>
          <w:bottom w:val="single" w:sz="12" w:space="3" w:color="C6A15B"/>
        </w:pBdr>
      </w:pPr>
      <w:r>
        <w:rPr>
          <w:rFonts w:ascii="Calibri" w:hAnsi="Calibri"/>
          <w:b/>
          <w:i w:val="0"/>
          <w:color w:val="123B4F"/>
          <w:sz w:val="34"/>
        </w:rPr>
        <w:t>10.  Dispute Taxonomy &amp; Dropdown Architecture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This is the menu the website shows a user. Three linked dropdowns — </w:t>
            </w:r>
            <w:r>
              <w:rPr>
                <w:rFonts w:ascii="Calibri" w:hAnsi="Calibri"/>
                <w:b/>
                <w:i w:val="0"/>
                <w:color w:val="1B2A32"/>
                <w:sz w:val="20"/>
              </w:rPr>
              <w:t>Marriage regime → Dispute type → Specific issue(s)</w:t>
            </w:r>
            <w:r>
              <w:rPr>
                <w:rFonts w:ascii="Calibri" w:hAnsi="Calibri"/>
                <w:b w:val="0"/>
                <w:i w:val="0"/>
                <w:color w:val="1B2A32"/>
                <w:sz w:val="20"/>
              </w:rPr>
              <w:t xml:space="preserve"> — plus a </w:t>
            </w:r>
            <w:r>
              <w:rPr>
                <w:rFonts w:ascii="Calibri" w:hAnsi="Calibri"/>
                <w:b/>
                <w:i w:val="0"/>
                <w:color w:val="1B2A32"/>
                <w:sz w:val="20"/>
              </w:rPr>
              <w:t>relief sought</w:t>
            </w:r>
            <w:r>
              <w:rPr>
                <w:rFonts w:ascii="Calibri" w:hAnsi="Calibri"/>
                <w:b w:val="0"/>
                <w:i w:val="0"/>
                <w:color w:val="1B2A32"/>
                <w:sz w:val="20"/>
              </w:rPr>
              <w:t xml:space="preserve"> picker. Choosing them auto-attaches the correct law, the right forms, and the right screening. The full machine-readable version is in the Developer Handoff Workbook.</w:t>
            </w:r>
          </w:p>
        </w:tc>
      </w:tr>
    </w:tbl>
    <w:p>
      <w:pPr>
        <w:spacing w:after="120"/>
      </w:pPr>
    </w:p>
    <w:p>
      <w:pPr>
        <w:spacing w:after="140"/>
        <w:jc w:val="both"/>
      </w:pPr>
      <w:r>
        <w:rPr>
          <w:rFonts w:ascii="Calibri" w:hAnsi="Calibri"/>
          <w:b w:val="0"/>
          <w:i w:val="0"/>
          <w:color w:val="1B2A32"/>
          <w:sz w:val="21"/>
        </w:rPr>
        <w:t xml:space="preserve">The taxonomy is the backbone of the intake experience and of case routing. A user first identifies the </w:t>
      </w:r>
      <w:r>
        <w:rPr>
          <w:rFonts w:ascii="Calibri" w:hAnsi="Calibri"/>
          <w:b/>
          <w:i w:val="0"/>
          <w:color w:val="1B2A32"/>
          <w:sz w:val="21"/>
        </w:rPr>
        <w:t>marriage regime</w:t>
      </w:r>
      <w:r>
        <w:rPr>
          <w:rFonts w:ascii="Calibri" w:hAnsi="Calibri"/>
          <w:b w:val="0"/>
          <w:i w:val="0"/>
          <w:color w:val="1B2A32"/>
          <w:sz w:val="21"/>
        </w:rPr>
        <w:t xml:space="preserve">, which fixes the governing law; then the </w:t>
      </w:r>
      <w:r>
        <w:rPr>
          <w:rFonts w:ascii="Calibri" w:hAnsi="Calibri"/>
          <w:b/>
          <w:i w:val="0"/>
          <w:color w:val="1B2A32"/>
          <w:sz w:val="21"/>
        </w:rPr>
        <w:t>dispute type</w:t>
      </w:r>
      <w:r>
        <w:rPr>
          <w:rFonts w:ascii="Calibri" w:hAnsi="Calibri"/>
          <w:b w:val="0"/>
          <w:i w:val="0"/>
          <w:color w:val="1B2A32"/>
          <w:sz w:val="21"/>
        </w:rPr>
        <w:t xml:space="preserve"> (the broad category); then one or more </w:t>
      </w:r>
      <w:r>
        <w:rPr>
          <w:rFonts w:ascii="Calibri" w:hAnsi="Calibri"/>
          <w:b/>
          <w:i w:val="0"/>
          <w:color w:val="1B2A32"/>
          <w:sz w:val="21"/>
        </w:rPr>
        <w:t>specific issues</w:t>
      </w:r>
      <w:r>
        <w:rPr>
          <w:rFonts w:ascii="Calibri" w:hAnsi="Calibri"/>
          <w:b w:val="0"/>
          <w:i w:val="0"/>
          <w:color w:val="1B2A32"/>
          <w:sz w:val="21"/>
        </w:rPr>
        <w:t xml:space="preserve"> (multi-select, because real disputes are bundles); and finally the </w:t>
      </w:r>
      <w:r>
        <w:rPr>
          <w:rFonts w:ascii="Calibri" w:hAnsi="Calibri"/>
          <w:b/>
          <w:i w:val="0"/>
          <w:color w:val="1B2A32"/>
          <w:sz w:val="21"/>
        </w:rPr>
        <w:t>relief(s) sought</w:t>
      </w:r>
      <w:r>
        <w:rPr>
          <w:rFonts w:ascii="Calibri" w:hAnsi="Calibri"/>
          <w:b w:val="0"/>
          <w:i w:val="0"/>
          <w:color w:val="1B2A32"/>
          <w:sz w:val="21"/>
        </w:rPr>
        <w:t>. The platform uses these selections to attach the applicable-law checklist, to select the forms the party must complete, to drive the suitability screen (for example, flagging domestic violence or a pending FIR), and to filter the mediator panel by the specialisation the matter needs.</w:t>
      </w:r>
    </w:p>
    <w:p>
      <w:pPr>
        <w:keepNext/>
        <w:spacing w:before="220" w:after="80"/>
      </w:pPr>
      <w:r>
        <w:rPr>
          <w:rFonts w:ascii="Calibri" w:hAnsi="Calibri"/>
          <w:b/>
          <w:i w:val="0"/>
          <w:color w:val="1E7A8C"/>
          <w:sz w:val="26"/>
        </w:rPr>
        <w:t>10.1   Level 1 — Marriage regime</w:t>
      </w:r>
    </w:p>
    <w:p>
      <w:pPr>
        <w:spacing w:after="140"/>
        <w:jc w:val="both"/>
      </w:pPr>
      <w:r>
        <w:rPr>
          <w:rFonts w:ascii="Calibri" w:hAnsi="Calibri"/>
          <w:b w:val="0"/>
          <w:i w:val="0"/>
          <w:color w:val="1B2A32"/>
          <w:sz w:val="21"/>
        </w:rPr>
        <w:t>Dropdown values: Hindu / Buddhist / Jain / Sikh (HMA 1955); Inter-faith or Civil (SMA 1954); Inter-caste (HMA/SMA as applicable); Muslim (Mohammedan law); Christian (Divorce Act 1869); Parsi (1936 Act); NRI / Overseas marriage; Live-in / relationship in the nature of marriage (for domestic-violence relief).</w:t>
      </w:r>
    </w:p>
    <w:p>
      <w:pPr>
        <w:keepNext/>
        <w:spacing w:before="220" w:after="80"/>
      </w:pPr>
      <w:r>
        <w:rPr>
          <w:rFonts w:ascii="Calibri" w:hAnsi="Calibri"/>
          <w:b/>
          <w:i w:val="0"/>
          <w:color w:val="1E7A8C"/>
          <w:sz w:val="26"/>
        </w:rPr>
        <w:t>10.2   Level 2 &amp; 3 — Dispute type and specific issues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Dispute type (L2)</w:t>
            </w:r>
          </w:p>
        </w:tc>
        <w:tc>
          <w:tcPr>
            <w:tcW w:type="dxa" w:w="5227"/>
            <w:shd w:val="clear" w:color="auto" w:fill="123B4F"/>
            <w:tcMar>
              <w:top w:w="60" w:type="dxa"/>
              <w:bottom w:w="60" w:type="dxa"/>
              <w:start w:w="110" w:type="dxa"/>
              <w:end w:w="110" w:type="dxa"/>
            </w:tcMar>
          </w:tcPr>
          <w:p>
            <w:pPr>
              <w:spacing w:after="0"/>
            </w:pPr>
            <w:r>
              <w:rPr>
                <w:rFonts w:ascii="Calibri" w:hAnsi="Calibri"/>
                <w:b/>
                <w:i w:val="0"/>
                <w:color w:val="FFFFFF"/>
                <w:sz w:val="17"/>
              </w:rPr>
              <w:t>Representative specific issues (L3, multi-select)</w:t>
            </w:r>
          </w:p>
        </w:tc>
        <w:tc>
          <w:tcPr>
            <w:tcW w:type="dxa" w:w="2376"/>
            <w:shd w:val="clear" w:color="auto" w:fill="123B4F"/>
            <w:tcMar>
              <w:top w:w="60" w:type="dxa"/>
              <w:bottom w:w="60" w:type="dxa"/>
              <w:start w:w="110" w:type="dxa"/>
              <w:end w:w="110" w:type="dxa"/>
            </w:tcMar>
          </w:tcPr>
          <w:p>
            <w:pPr>
              <w:spacing w:after="0"/>
            </w:pPr>
            <w:r>
              <w:rPr>
                <w:rFonts w:ascii="Calibri" w:hAnsi="Calibri"/>
                <w:b/>
                <w:i w:val="0"/>
                <w:color w:val="FFFFFF"/>
                <w:sz w:val="17"/>
              </w:rPr>
              <w:t>Primary applicable law</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Divorce &amp; Dissolution</w:t>
            </w:r>
          </w:p>
        </w:tc>
        <w:tc>
          <w:tcPr>
            <w:tcW w:type="dxa" w:w="5227"/>
            <w:tcMar>
              <w:top w:w="60" w:type="dxa"/>
              <w:bottom w:w="60" w:type="dxa"/>
              <w:start w:w="110" w:type="dxa"/>
              <w:end w:w="110" w:type="dxa"/>
            </w:tcMar>
          </w:tcPr>
          <w:p>
            <w:pPr>
              <w:spacing w:after="0"/>
              <w:jc w:val="left"/>
            </w:pPr>
            <w:r>
              <w:rPr>
                <w:rFonts w:ascii="Calibri" w:hAnsi="Calibri"/>
                <w:b w:val="0"/>
                <w:i w:val="0"/>
                <w:color w:val="1B2A32"/>
                <w:sz w:val="17"/>
              </w:rPr>
              <w:t>Mutual-consent divorce; contested — cruelty; contested — desertion; contested — adultery; contested — conversion; contested — mental disorder; irretrievable breakdown; convert contested to mutual</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HMA s.13/13B; SMA s.27/28; Divorce Act s.10/10A; Parsi s.32/32B; Muslim (khula/mubarat)</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Judicial Separation &amp; RCR</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Judicial separation; restitution of conjugal rights; reconciliation plan</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HMA s.9, s.10 (and analogues)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Maintenance &amp; Alimony</w:t>
            </w:r>
          </w:p>
        </w:tc>
        <w:tc>
          <w:tcPr>
            <w:tcW w:type="dxa" w:w="5227"/>
            <w:tcMar>
              <w:top w:w="60" w:type="dxa"/>
              <w:bottom w:w="60" w:type="dxa"/>
              <w:start w:w="110" w:type="dxa"/>
              <w:end w:w="110" w:type="dxa"/>
            </w:tcMar>
          </w:tcPr>
          <w:p>
            <w:pPr>
              <w:spacing w:after="0"/>
              <w:jc w:val="left"/>
            </w:pPr>
            <w:r>
              <w:rPr>
                <w:rFonts w:ascii="Calibri" w:hAnsi="Calibri"/>
                <w:b w:val="0"/>
                <w:i w:val="0"/>
                <w:color w:val="1B2A32"/>
                <w:sz w:val="17"/>
              </w:rPr>
              <w:t>Interim/pendente lite; permanent alimony; child maintenance &amp; education; secular maintenance; Muslim divorcee maintenance; enhancement/reduction; one-time lump sum</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BNSS s.144; HMA ss.24–25; PWDVA s.20; 1986 Act</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Child Custody &amp; Guardianship</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Physical custody; legal custody; joint/shared parenting plan; visitation/access; interim custody; guardianship; relocation &amp; child's passport/travel</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GWA 1890; HMGA 1956; HMA s.26; welfare principle</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Property, Streedhan &amp; Mahr</w:t>
            </w:r>
          </w:p>
        </w:tc>
        <w:tc>
          <w:tcPr>
            <w:tcW w:type="dxa" w:w="5227"/>
            <w:tcMar>
              <w:top w:w="60" w:type="dxa"/>
              <w:bottom w:w="60" w:type="dxa"/>
              <w:start w:w="110" w:type="dxa"/>
              <w:end w:w="110" w:type="dxa"/>
            </w:tcMar>
          </w:tcPr>
          <w:p>
            <w:pPr>
              <w:spacing w:after="0"/>
              <w:jc w:val="left"/>
            </w:pPr>
            <w:r>
              <w:rPr>
                <w:rFonts w:ascii="Calibri" w:hAnsi="Calibri"/>
                <w:b w:val="0"/>
                <w:i w:val="0"/>
                <w:color w:val="1B2A32"/>
                <w:sz w:val="17"/>
              </w:rPr>
              <w:t>Matrimonial home/shared household; streedhan &amp; jewellery return; joint accounts &amp; investments; immovable property; loans &amp; liabilities; mahr/dower; return of gifts</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Title-based; PWDVA ss.17,19; Muslim mahr; Pratibha Rani</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Domestic Violence</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Protection order; residence order; monetary relief; DV custody; compensation; breach of order</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PWDVA 2005 ss.18–22 (safety-screened)</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Dowry &amp; Cruelty</w:t>
            </w:r>
          </w:p>
        </w:tc>
        <w:tc>
          <w:tcPr>
            <w:tcW w:type="dxa" w:w="5227"/>
            <w:tcMar>
              <w:top w:w="60" w:type="dxa"/>
              <w:bottom w:w="60" w:type="dxa"/>
              <w:start w:w="110" w:type="dxa"/>
              <w:end w:w="110" w:type="dxa"/>
            </w:tcMar>
          </w:tcPr>
          <w:p>
            <w:pPr>
              <w:spacing w:after="0"/>
              <w:jc w:val="left"/>
            </w:pPr>
            <w:r>
              <w:rPr>
                <w:rFonts w:ascii="Calibri" w:hAnsi="Calibri"/>
                <w:b w:val="0"/>
                <w:i w:val="0"/>
                <w:color w:val="1B2A32"/>
                <w:sz w:val="17"/>
              </w:rPr>
              <w:t>498A/BNS 85–86 cruelty complaint; dowry demand (DP Act 3/4); return of dowry articles</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BNS ss.85–86; Dowry Prohibition Act 1961</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Criminal Cross-Complaints</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FIR withdrawal; compounding (compoundable); quashing on settlement (non-compoundable); mutual non-prosecution</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BNSS s.528 (quash), s.359 (compound); Gian Singh</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Extramarital Affairs / Adultery</w:t>
            </w:r>
          </w:p>
        </w:tc>
        <w:tc>
          <w:tcPr>
            <w:tcW w:type="dxa" w:w="5227"/>
            <w:tcMar>
              <w:top w:w="60" w:type="dxa"/>
              <w:bottom w:w="60" w:type="dxa"/>
              <w:start w:w="110" w:type="dxa"/>
              <w:end w:w="110" w:type="dxa"/>
            </w:tcMar>
          </w:tcPr>
          <w:p>
            <w:pPr>
              <w:spacing w:after="0"/>
              <w:jc w:val="left"/>
            </w:pPr>
            <w:r>
              <w:rPr>
                <w:rFonts w:ascii="Calibri" w:hAnsi="Calibri"/>
                <w:b w:val="0"/>
                <w:i w:val="0"/>
                <w:color w:val="1B2A32"/>
                <w:sz w:val="17"/>
              </w:rPr>
              <w:t>Adultery as divorce ground; no-contact/non-disparagement terms</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Matrimonial fault ground; Joseph Shine</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Polygamy / Bigamy</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Void second marriage; bigamy allegation; consequences for spouse &amp; children</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BNS s.82; HMA ss.5(i),11,17</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Harassment</w:t>
            </w:r>
          </w:p>
        </w:tc>
        <w:tc>
          <w:tcPr>
            <w:tcW w:type="dxa" w:w="5227"/>
            <w:tcMar>
              <w:top w:w="60" w:type="dxa"/>
              <w:bottom w:w="60" w:type="dxa"/>
              <w:start w:w="110" w:type="dxa"/>
              <w:end w:w="110" w:type="dxa"/>
            </w:tcMar>
          </w:tcPr>
          <w:p>
            <w:pPr>
              <w:spacing w:after="0"/>
              <w:jc w:val="left"/>
            </w:pPr>
            <w:r>
              <w:rPr>
                <w:rFonts w:ascii="Calibri" w:hAnsi="Calibri"/>
                <w:b w:val="0"/>
                <w:i w:val="0"/>
                <w:color w:val="1B2A32"/>
                <w:sz w:val="17"/>
              </w:rPr>
              <w:t>Dowry-linked harassment; criminal intimidation; online harassment/image abuse; no-contact terms</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BNS provisions; safety-screened</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NRI / Cross-border</w:t>
            </w:r>
          </w:p>
        </w:tc>
        <w:tc>
          <w:tcPr>
            <w:tcW w:type="dxa" w:w="5227"/>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Jurisdiction; foreign-decree alignment; cross-border custody; service of notice</w:t>
            </w:r>
          </w:p>
        </w:tc>
        <w:tc>
          <w:tcPr>
            <w:tcW w:type="dxa" w:w="2376"/>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CPC s.13; personal law; Y. Narasimha Rao</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Nullity / Void-Voidable</w:t>
            </w:r>
          </w:p>
        </w:tc>
        <w:tc>
          <w:tcPr>
            <w:tcW w:type="dxa" w:w="5227"/>
            <w:tcMar>
              <w:top w:w="60" w:type="dxa"/>
              <w:bottom w:w="60" w:type="dxa"/>
              <w:start w:w="110" w:type="dxa"/>
              <w:end w:w="110" w:type="dxa"/>
            </w:tcMar>
          </w:tcPr>
          <w:p>
            <w:pPr>
              <w:spacing w:after="0"/>
              <w:jc w:val="left"/>
            </w:pPr>
            <w:r>
              <w:rPr>
                <w:rFonts w:ascii="Calibri" w:hAnsi="Calibri"/>
                <w:b w:val="0"/>
                <w:i w:val="0"/>
                <w:color w:val="1B2A32"/>
                <w:sz w:val="17"/>
              </w:rPr>
              <w:t>Decree of nullity; voidable marriage; fraud/coercion in marriage</w:t>
            </w:r>
          </w:p>
        </w:tc>
        <w:tc>
          <w:tcPr>
            <w:tcW w:type="dxa" w:w="2376"/>
            <w:tcMar>
              <w:top w:w="60" w:type="dxa"/>
              <w:bottom w:w="60" w:type="dxa"/>
              <w:start w:w="110" w:type="dxa"/>
              <w:end w:w="110" w:type="dxa"/>
            </w:tcMar>
          </w:tcPr>
          <w:p>
            <w:pPr>
              <w:spacing w:after="0"/>
              <w:jc w:val="left"/>
            </w:pPr>
            <w:r>
              <w:rPr>
                <w:rFonts w:ascii="Calibri" w:hAnsi="Calibri"/>
                <w:b w:val="0"/>
                <w:i w:val="0"/>
                <w:color w:val="1B2A32"/>
                <w:sz w:val="17"/>
              </w:rPr>
              <w:t>HMA ss.11–12; SMA ss.24–25; analogues</w:t>
            </w:r>
          </w:p>
        </w:tc>
      </w:tr>
    </w:tbl>
    <w:p>
      <w:pPr>
        <w:spacing w:after="80"/>
      </w:pPr>
    </w:p>
    <w:p>
      <w:pPr>
        <w:spacing w:before="20" w:after="200"/>
        <w:jc w:val="center"/>
      </w:pPr>
      <w:r>
        <w:rPr>
          <w:rFonts w:ascii="Calibri" w:hAnsi="Calibri"/>
          <w:b w:val="0"/>
          <w:i/>
          <w:color w:val="556168"/>
          <w:sz w:val="17"/>
        </w:rPr>
        <w:t>Table 2 — Dispute-type → issue → applicable-law map (abbreviated; full schema in the Developer Handoff Workbook).</w:t>
      </w:r>
    </w:p>
    <w:p>
      <w:pPr>
        <w:keepNext/>
        <w:spacing w:before="220" w:after="80"/>
      </w:pPr>
      <w:r>
        <w:rPr>
          <w:rFonts w:ascii="Calibri" w:hAnsi="Calibri"/>
          <w:b/>
          <w:i w:val="0"/>
          <w:color w:val="1E7A8C"/>
          <w:sz w:val="26"/>
        </w:rPr>
        <w:t>10.3   Relief sought (multi-select)</w:t>
      </w:r>
    </w:p>
    <w:p>
      <w:pPr>
        <w:spacing w:after="140"/>
        <w:jc w:val="both"/>
      </w:pPr>
      <w:r>
        <w:rPr>
          <w:rFonts w:ascii="Calibri" w:hAnsi="Calibri"/>
          <w:b w:val="0"/>
          <w:i w:val="0"/>
          <w:color w:val="1B2A32"/>
          <w:sz w:val="21"/>
        </w:rPr>
        <w:t>Dropdown values include: dissolution by mutual consent; dissolution on a fault ground; judicial separation; reconciliation; interim maintenance; permanent alimony / one-time settlement; child maintenance; custody arrangement; visitation schedule; transfer or partition of property; return of streedhan/jewellery; payment of mahr; protection from violence/harassment (no-contact); withdrawal/compounding/quashing of criminal cases; escrow-secured payment; and 'other (specify)'.</w:t>
      </w:r>
    </w:p>
    <w:p>
      <w:pPr>
        <w:keepNext/>
        <w:spacing w:before="320" w:after="140"/>
        <w:pBdr>
          <w:bottom w:val="single" w:sz="12" w:space="3" w:color="C6A15B"/>
        </w:pBdr>
      </w:pPr>
      <w:r>
        <w:rPr>
          <w:rFonts w:ascii="Calibri" w:hAnsi="Calibri"/>
          <w:b/>
          <w:i w:val="0"/>
          <w:color w:val="123B4F"/>
          <w:sz w:val="34"/>
        </w:rPr>
        <w:t>11.  User Roles &amp; Access Management</w:t>
      </w:r>
    </w:p>
    <w:p>
      <w:pPr>
        <w:spacing w:after="140"/>
        <w:jc w:val="both"/>
      </w:pPr>
      <w:r>
        <w:rPr>
          <w:rFonts w:ascii="Calibri" w:hAnsi="Calibri"/>
          <w:b w:val="0"/>
          <w:i w:val="0"/>
          <w:color w:val="1B2A32"/>
          <w:sz w:val="21"/>
        </w:rPr>
        <w:t xml:space="preserve">The platform enforces </w:t>
      </w:r>
      <w:r>
        <w:rPr>
          <w:rFonts w:ascii="Calibri" w:hAnsi="Calibri"/>
          <w:b/>
          <w:i w:val="0"/>
          <w:color w:val="1B2A32"/>
          <w:sz w:val="21"/>
        </w:rPr>
        <w:t>role-based access control</w:t>
      </w:r>
      <w:r>
        <w:rPr>
          <w:rFonts w:ascii="Calibri" w:hAnsi="Calibri"/>
          <w:b w:val="0"/>
          <w:i w:val="0"/>
          <w:color w:val="1B2A32"/>
          <w:sz w:val="21"/>
        </w:rPr>
        <w:t>. Each role sees only what it needs, and no party ever sees the other party's private caucus notes or the mediator's working papers. This is both a mediation requirement (confidentiality, s.22) and a data-protection requirement (need-to-know access under the DPDP Act).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Role</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Who</w:t>
            </w:r>
          </w:p>
        </w:tc>
        <w:tc>
          <w:tcPr>
            <w:tcW w:type="dxa" w:w="4942"/>
            <w:shd w:val="clear" w:color="auto" w:fill="123B4F"/>
            <w:tcMar>
              <w:top w:w="60" w:type="dxa"/>
              <w:bottom w:w="60" w:type="dxa"/>
              <w:start w:w="110" w:type="dxa"/>
              <w:end w:w="110" w:type="dxa"/>
            </w:tcMar>
          </w:tcPr>
          <w:p>
            <w:pPr>
              <w:spacing w:after="0"/>
            </w:pPr>
            <w:r>
              <w:rPr>
                <w:rFonts w:ascii="Calibri" w:hAnsi="Calibri"/>
                <w:b/>
                <w:i w:val="0"/>
                <w:color w:val="FFFFFF"/>
                <w:sz w:val="17"/>
              </w:rPr>
              <w:t>Core permissions</w:t>
            </w:r>
          </w:p>
        </w:tc>
      </w:tr>
      <w:tr>
        <w:trPr>
          <w:trHeight w:val="0"/>
        </w:trPr>
        <w:tc>
          <w:tcPr>
            <w:tcW w:type="dxa" w:w="1711"/>
            <w:tcMar>
              <w:top w:w="60" w:type="dxa"/>
              <w:bottom w:w="60" w:type="dxa"/>
              <w:start w:w="110" w:type="dxa"/>
              <w:end w:w="110" w:type="dxa"/>
            </w:tcMar>
          </w:tcPr>
          <w:p>
            <w:pPr>
              <w:spacing w:after="0"/>
              <w:jc w:val="left"/>
            </w:pPr>
            <w:r>
              <w:rPr>
                <w:rFonts w:ascii="Calibri" w:hAnsi="Calibri"/>
                <w:b w:val="0"/>
                <w:i w:val="0"/>
                <w:color w:val="1B2A32"/>
                <w:sz w:val="17"/>
              </w:rPr>
              <w:t>Applicant</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The spouse initiating (husband or wife)</w:t>
            </w:r>
          </w:p>
        </w:tc>
        <w:tc>
          <w:tcPr>
            <w:tcW w:type="dxa" w:w="4942"/>
            <w:tcMar>
              <w:top w:w="60" w:type="dxa"/>
              <w:bottom w:w="60" w:type="dxa"/>
              <w:start w:w="110" w:type="dxa"/>
              <w:end w:w="110" w:type="dxa"/>
            </w:tcMar>
          </w:tcPr>
          <w:p>
            <w:pPr>
              <w:spacing w:after="0"/>
              <w:jc w:val="left"/>
            </w:pPr>
            <w:r>
              <w:rPr>
                <w:rFonts w:ascii="Calibri" w:hAnsi="Calibri"/>
                <w:b w:val="0"/>
                <w:i w:val="0"/>
                <w:color w:val="1B2A32"/>
                <w:sz w:val="17"/>
              </w:rPr>
              <w:t>File request; upload documents; select issues &amp; relief; propose mediator; view own file; join sessions; e-sign MSA; fund/receive escrow</w:t>
            </w:r>
          </w:p>
        </w:tc>
      </w:tr>
      <w:tr>
        <w:trPr>
          <w:trHeight w:val="0"/>
        </w:trPr>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Respondent</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The other spouse</w:t>
            </w:r>
          </w:p>
        </w:tc>
        <w:tc>
          <w:tcPr>
            <w:tcW w:type="dxa" w:w="494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Receive &amp; accept notice; file response &amp; counter-issues; upload documents; agree mediator; join sessions; e-sign MSA; fund/receive escrow</w:t>
            </w:r>
          </w:p>
        </w:tc>
      </w:tr>
      <w:tr>
        <w:trPr>
          <w:trHeight w:val="0"/>
        </w:trPr>
        <w:tc>
          <w:tcPr>
            <w:tcW w:type="dxa" w:w="1711"/>
            <w:tcMar>
              <w:top w:w="60" w:type="dxa"/>
              <w:bottom w:w="60" w:type="dxa"/>
              <w:start w:w="110" w:type="dxa"/>
              <w:end w:w="110" w:type="dxa"/>
            </w:tcMar>
          </w:tcPr>
          <w:p>
            <w:pPr>
              <w:spacing w:after="0"/>
              <w:jc w:val="left"/>
            </w:pPr>
            <w:r>
              <w:rPr>
                <w:rFonts w:ascii="Calibri" w:hAnsi="Calibri"/>
                <w:b w:val="0"/>
                <w:i w:val="0"/>
                <w:color w:val="1B2A32"/>
                <w:sz w:val="17"/>
              </w:rPr>
              <w:t>Mediator</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Empanelled, conflict-checked neutral</w:t>
            </w:r>
          </w:p>
        </w:tc>
        <w:tc>
          <w:tcPr>
            <w:tcW w:type="dxa" w:w="4942"/>
            <w:tcMar>
              <w:top w:w="60" w:type="dxa"/>
              <w:bottom w:w="60" w:type="dxa"/>
              <w:start w:w="110" w:type="dxa"/>
              <w:end w:w="110" w:type="dxa"/>
            </w:tcMar>
          </w:tcPr>
          <w:p>
            <w:pPr>
              <w:spacing w:after="0"/>
              <w:jc w:val="left"/>
            </w:pPr>
            <w:r>
              <w:rPr>
                <w:rFonts w:ascii="Calibri" w:hAnsi="Calibri"/>
                <w:b w:val="0"/>
                <w:i w:val="0"/>
                <w:color w:val="1B2A32"/>
                <w:sz w:val="17"/>
              </w:rPr>
              <w:t>View both parties' filings; conduct joint &amp; private sessions; record caucus notes (private); draft MSA; issue reports; cannot alter fees or escrow</w:t>
            </w:r>
          </w:p>
        </w:tc>
      </w:tr>
      <w:tr>
        <w:trPr>
          <w:trHeight w:val="0"/>
        </w:trPr>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Case Manager</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Equator operations officer</w:t>
            </w:r>
          </w:p>
        </w:tc>
        <w:tc>
          <w:tcPr>
            <w:tcW w:type="dxa" w:w="494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Screen &amp; register; serve notices; enforce timeline/SLAs; schedule; manage documents &amp; escrow instructions; support mediator; issue closure reports</w:t>
            </w:r>
          </w:p>
        </w:tc>
      </w:tr>
      <w:tr>
        <w:trPr>
          <w:trHeight w:val="0"/>
        </w:trPr>
        <w:tc>
          <w:tcPr>
            <w:tcW w:type="dxa" w:w="1711"/>
            <w:tcMar>
              <w:top w:w="60" w:type="dxa"/>
              <w:bottom w:w="60" w:type="dxa"/>
              <w:start w:w="110" w:type="dxa"/>
              <w:end w:w="110" w:type="dxa"/>
            </w:tcMar>
          </w:tcPr>
          <w:p>
            <w:pPr>
              <w:spacing w:after="0"/>
              <w:jc w:val="left"/>
            </w:pPr>
            <w:r>
              <w:rPr>
                <w:rFonts w:ascii="Calibri" w:hAnsi="Calibri"/>
                <w:b w:val="0"/>
                <w:i w:val="0"/>
                <w:color w:val="1B2A32"/>
                <w:sz w:val="17"/>
              </w:rPr>
              <w:t>Advocate / Representative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Optional, for either party</w:t>
            </w:r>
          </w:p>
        </w:tc>
        <w:tc>
          <w:tcPr>
            <w:tcW w:type="dxa" w:w="4942"/>
            <w:tcMar>
              <w:top w:w="60" w:type="dxa"/>
              <w:bottom w:w="60" w:type="dxa"/>
              <w:start w:w="110" w:type="dxa"/>
              <w:end w:w="110" w:type="dxa"/>
            </w:tcMar>
          </w:tcPr>
          <w:p>
            <w:pPr>
              <w:spacing w:after="0"/>
              <w:jc w:val="left"/>
            </w:pPr>
            <w:r>
              <w:rPr>
                <w:rFonts w:ascii="Calibri" w:hAnsi="Calibri"/>
                <w:b w:val="0"/>
                <w:i w:val="0"/>
                <w:color w:val="1B2A32"/>
                <w:sz w:val="17"/>
              </w:rPr>
              <w:t>View that party's file on authorisation; advise; attend sessions if parties agree; assist with court steps (decree, quashing)</w:t>
            </w:r>
          </w:p>
        </w:tc>
      </w:tr>
      <w:tr>
        <w:trPr>
          <w:trHeight w:val="0"/>
        </w:trPr>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Administrator</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Equator platform admin</w:t>
            </w:r>
          </w:p>
        </w:tc>
        <w:tc>
          <w:tcPr>
            <w:tcW w:type="dxa" w:w="494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Panel management; empanelment &amp; grading records; audit logs; compliance &amp; DPDP controls; no access to caucus content</w:t>
            </w:r>
          </w:p>
        </w:tc>
      </w:tr>
      <w:tr>
        <w:trPr>
          <w:trHeight w:val="0"/>
        </w:trPr>
        <w:tc>
          <w:tcPr>
            <w:tcW w:type="dxa" w:w="1711"/>
            <w:tcMar>
              <w:top w:w="60" w:type="dxa"/>
              <w:bottom w:w="60" w:type="dxa"/>
              <w:start w:w="110" w:type="dxa"/>
              <w:end w:w="110" w:type="dxa"/>
            </w:tcMar>
          </w:tcPr>
          <w:p>
            <w:pPr>
              <w:spacing w:after="0"/>
              <w:jc w:val="left"/>
            </w:pPr>
            <w:r>
              <w:rPr>
                <w:rFonts w:ascii="Calibri" w:hAnsi="Calibri"/>
                <w:b w:val="0"/>
                <w:i w:val="0"/>
                <w:color w:val="1B2A32"/>
                <w:sz w:val="17"/>
              </w:rPr>
              <w:t>Escrow Officer</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Equator finance + partner bank</w:t>
            </w:r>
          </w:p>
        </w:tc>
        <w:tc>
          <w:tcPr>
            <w:tcW w:type="dxa" w:w="4942"/>
            <w:tcMar>
              <w:top w:w="60" w:type="dxa"/>
              <w:bottom w:w="60" w:type="dxa"/>
              <w:start w:w="110" w:type="dxa"/>
              <w:end w:w="110" w:type="dxa"/>
            </w:tcMar>
          </w:tcPr>
          <w:p>
            <w:pPr>
              <w:spacing w:after="0"/>
              <w:jc w:val="left"/>
            </w:pPr>
            <w:r>
              <w:rPr>
                <w:rFonts w:ascii="Calibri" w:hAnsi="Calibri"/>
                <w:b w:val="0"/>
                <w:i w:val="0"/>
                <w:color w:val="1B2A32"/>
                <w:sz w:val="17"/>
              </w:rPr>
              <w:t>Set up escrow; verify funding; execute conditional release; maintain audit trail; PMLA/KYC checks</w:t>
            </w:r>
          </w:p>
        </w:tc>
      </w:tr>
    </w:tbl>
    <w:p>
      <w:pPr>
        <w:spacing w:after="80"/>
      </w:pPr>
    </w:p>
    <w:p>
      <w:pPr>
        <w:spacing w:before="20" w:after="200"/>
        <w:jc w:val="center"/>
      </w:pPr>
      <w:r>
        <w:rPr>
          <w:rFonts w:ascii="Calibri" w:hAnsi="Calibri"/>
          <w:b w:val="0"/>
          <w:i/>
          <w:color w:val="556168"/>
          <w:sz w:val="17"/>
        </w:rPr>
        <w:t>Table 3 — Roles and least-privilege access.</w:t>
      </w:r>
    </w:p>
    <w:p>
      <w:pPr>
        <w:keepNext/>
        <w:spacing w:before="320" w:after="140"/>
        <w:pBdr>
          <w:bottom w:val="single" w:sz="12" w:space="3" w:color="C6A15B"/>
        </w:pBdr>
      </w:pPr>
      <w:r>
        <w:rPr>
          <w:rFonts w:ascii="Calibri" w:hAnsi="Calibri"/>
          <w:b/>
          <w:i w:val="0"/>
          <w:color w:val="123B4F"/>
          <w:sz w:val="34"/>
        </w:rPr>
        <w:t>12.  Onboarding &amp; Registration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 xml:space="preserve">A short, humane sign-up: verify who you are, tell us the dispute, agree to mediate, and consent to how your data is used. The </w:t>
            </w:r>
            <w:r>
              <w:rPr>
                <w:rFonts w:ascii="Calibri" w:hAnsi="Calibri"/>
                <w:b/>
                <w:i w:val="0"/>
                <w:color w:val="1B2A32"/>
                <w:sz w:val="20"/>
              </w:rPr>
              <w:t>Dispute Explorer</w:t>
            </w:r>
            <w:r>
              <w:rPr>
                <w:rFonts w:ascii="Calibri" w:hAnsi="Calibri"/>
                <w:b w:val="0"/>
                <w:i w:val="0"/>
                <w:color w:val="1B2A32"/>
                <w:sz w:val="20"/>
              </w:rPr>
              <w:t xml:space="preserve"> helps a nervous user understand their situation before committing.</w:t>
            </w:r>
          </w:p>
        </w:tc>
      </w:tr>
    </w:tbl>
    <w:p>
      <w:pPr>
        <w:spacing w:after="120"/>
      </w:pPr>
    </w:p>
    <w:p>
      <w:pPr>
        <w:pStyle w:val="ListNumber"/>
        <w:spacing w:after="60"/>
        <w:jc w:val="both"/>
      </w:pPr>
      <w:r>
        <w:rPr>
          <w:rFonts w:ascii="Calibri" w:hAnsi="Calibri"/>
          <w:b/>
          <w:i w:val="0"/>
          <w:color w:val="1B2A32"/>
          <w:sz w:val="21"/>
        </w:rPr>
        <w:t>Dispute Explorer (no login):</w:t>
      </w:r>
      <w:r>
        <w:rPr>
          <w:rFonts w:ascii="Calibri" w:hAnsi="Calibri"/>
          <w:b w:val="0"/>
          <w:i w:val="0"/>
          <w:color w:val="1B2A32"/>
          <w:sz w:val="21"/>
        </w:rPr>
        <w:t xml:space="preserve"> a guided self-assessment that lets a visitor describe the situation, see whether mediation fits, and understand likely issues and timelines — lowering the barrier to entry.</w:t>
      </w:r>
    </w:p>
    <w:p>
      <w:pPr>
        <w:pStyle w:val="ListNumber"/>
        <w:spacing w:after="60"/>
        <w:jc w:val="both"/>
      </w:pPr>
      <w:r>
        <w:rPr>
          <w:rFonts w:ascii="Calibri" w:hAnsi="Calibri"/>
          <w:b/>
          <w:i w:val="0"/>
          <w:color w:val="1B2A32"/>
          <w:sz w:val="21"/>
        </w:rPr>
        <w:t>Account creation &amp; identity (KYC):</w:t>
      </w:r>
      <w:r>
        <w:rPr>
          <w:rFonts w:ascii="Calibri" w:hAnsi="Calibri"/>
          <w:b w:val="0"/>
          <w:i w:val="0"/>
          <w:color w:val="1B2A32"/>
          <w:sz w:val="21"/>
        </w:rPr>
        <w:t xml:space="preserve"> name, contact, and identity verification (e.g., Aadhaar-based e-KYC or document upload), with liveness/OTP checks; NRI users verified via passport/OCI and video.</w:t>
      </w:r>
    </w:p>
    <w:p>
      <w:pPr>
        <w:pStyle w:val="ListNumber"/>
        <w:spacing w:after="60"/>
        <w:jc w:val="both"/>
      </w:pPr>
      <w:r>
        <w:rPr>
          <w:rFonts w:ascii="Calibri" w:hAnsi="Calibri"/>
          <w:b/>
          <w:i w:val="0"/>
          <w:color w:val="1B2A32"/>
          <w:sz w:val="21"/>
        </w:rPr>
        <w:t>DPDP consent capture:</w:t>
      </w:r>
      <w:r>
        <w:rPr>
          <w:rFonts w:ascii="Calibri" w:hAnsi="Calibri"/>
          <w:b w:val="0"/>
          <w:i w:val="0"/>
          <w:color w:val="1B2A32"/>
          <w:sz w:val="21"/>
        </w:rPr>
        <w:t xml:space="preserve"> a clear, itemised consent notice (purpose, data categories, retention, rights, grievance officer), recorded with timestamp and version; separate verifiable parental consent where a child's data is involved.</w:t>
      </w:r>
    </w:p>
    <w:p>
      <w:pPr>
        <w:pStyle w:val="ListNumber"/>
        <w:spacing w:after="60"/>
        <w:jc w:val="both"/>
      </w:pPr>
      <w:r>
        <w:rPr>
          <w:rFonts w:ascii="Calibri" w:hAnsi="Calibri"/>
          <w:b/>
          <w:i w:val="0"/>
          <w:color w:val="1B2A32"/>
          <w:sz w:val="21"/>
        </w:rPr>
        <w:t>Marriage &amp; dispute intake:</w:t>
      </w:r>
      <w:r>
        <w:rPr>
          <w:rFonts w:ascii="Calibri" w:hAnsi="Calibri"/>
          <w:b w:val="0"/>
          <w:i w:val="0"/>
          <w:color w:val="1B2A32"/>
          <w:sz w:val="21"/>
        </w:rPr>
        <w:t xml:space="preserve"> select marriage regime → dispute type → issue(s) → relief; upload marriage proof and key documents; the platform attaches the applicable-law checklist and required forms.</w:t>
      </w:r>
    </w:p>
    <w:p>
      <w:pPr>
        <w:pStyle w:val="ListNumber"/>
        <w:spacing w:after="60"/>
        <w:jc w:val="both"/>
      </w:pPr>
      <w:r>
        <w:rPr>
          <w:rFonts w:ascii="Calibri" w:hAnsi="Calibri"/>
          <w:b/>
          <w:i w:val="0"/>
          <w:color w:val="1B2A32"/>
          <w:sz w:val="21"/>
        </w:rPr>
        <w:t>Agreement to mediate &amp; fee acknowledgement:</w:t>
      </w:r>
      <w:r>
        <w:rPr>
          <w:rFonts w:ascii="Calibri" w:hAnsi="Calibri"/>
          <w:b w:val="0"/>
          <w:i w:val="0"/>
          <w:color w:val="1B2A32"/>
          <w:sz w:val="21"/>
        </w:rPr>
        <w:t xml:space="preserve"> the Agreement to Mediate (consent, confidentiality, voluntariness, mediator neutrality) and the fee schedule are presented and e-signed.</w:t>
      </w:r>
    </w:p>
    <w:p>
      <w:pPr>
        <w:pStyle w:val="ListNumber"/>
        <w:spacing w:after="60"/>
        <w:jc w:val="both"/>
      </w:pPr>
      <w:r>
        <w:rPr>
          <w:rFonts w:ascii="Calibri" w:hAnsi="Calibri"/>
          <w:b/>
          <w:i w:val="0"/>
          <w:color w:val="1B2A32"/>
          <w:sz w:val="21"/>
        </w:rPr>
        <w:t>Screening &amp; assignment:</w:t>
      </w:r>
      <w:r>
        <w:rPr>
          <w:rFonts w:ascii="Calibri" w:hAnsi="Calibri"/>
          <w:b w:val="0"/>
          <w:i w:val="0"/>
          <w:color w:val="1B2A32"/>
          <w:sz w:val="21"/>
        </w:rPr>
        <w:t xml:space="preserve"> the case manager runs the suitability triage (Figure 5) and, if accepted, registers the case with a unique number and assigns a case manager.</w:t>
      </w:r>
    </w:p>
    <w:p>
      <w:pPr>
        <w:spacing w:after="40"/>
      </w:pPr>
    </w:p>
    <w:p>
      <w:pPr>
        <w:spacing w:before="80" w:after="40"/>
        <w:jc w:val="center"/>
      </w:pPr>
      <w:r>
        <w:drawing>
          <wp:inline xmlns:a="http://schemas.openxmlformats.org/drawingml/2006/main" xmlns:pic="http://schemas.openxmlformats.org/drawingml/2006/picture">
            <wp:extent cx="5120640" cy="8684104"/>
            <wp:docPr id="6" name="Picture 6"/>
            <wp:cNvGraphicFramePr>
              <a:graphicFrameLocks noChangeAspect="1"/>
            </wp:cNvGraphicFramePr>
            <a:graphic>
              <a:graphicData uri="http://schemas.openxmlformats.org/drawingml/2006/picture">
                <pic:pic>
                  <pic:nvPicPr>
                    <pic:cNvPr id="0" name="02_intake_triage.png"/>
                    <pic:cNvPicPr/>
                  </pic:nvPicPr>
                  <pic:blipFill>
                    <a:blip r:embed="rId14"/>
                    <a:stretch>
                      <a:fillRect/>
                    </a:stretch>
                  </pic:blipFill>
                  <pic:spPr>
                    <a:xfrm>
                      <a:off x="0" y="0"/>
                      <a:ext cx="5120640" cy="8684104"/>
                    </a:xfrm>
                    <a:prstGeom prst="rect"/>
                  </pic:spPr>
                </pic:pic>
              </a:graphicData>
            </a:graphic>
          </wp:inline>
        </w:drawing>
      </w:r>
    </w:p>
    <w:p>
      <w:pPr>
        <w:spacing w:before="20" w:after="200"/>
        <w:jc w:val="center"/>
      </w:pPr>
      <w:r>
        <w:rPr>
          <w:rFonts w:ascii="Calibri" w:hAnsi="Calibri"/>
          <w:b w:val="0"/>
          <w:i/>
          <w:color w:val="556168"/>
          <w:sz w:val="17"/>
        </w:rPr>
        <w:t>Figure 5 — Suitability triage runs before a case is accepted, catching exclusions, DV and criminal flags early.</w:t>
      </w:r>
    </w:p>
    <w:p>
      <w:pPr>
        <w:keepNext/>
        <w:spacing w:before="220" w:after="80"/>
      </w:pPr>
      <w:r>
        <w:rPr>
          <w:rFonts w:ascii="Calibri" w:hAnsi="Calibri"/>
          <w:b/>
          <w:i w:val="0"/>
          <w:color w:val="1E7A8C"/>
          <w:sz w:val="26"/>
        </w:rPr>
        <w:t>12.1   Accessibility, language &amp; trauma-informed design</w:t>
      </w:r>
    </w:p>
    <w:p>
      <w:pPr>
        <w:spacing w:after="140"/>
        <w:jc w:val="both"/>
      </w:pPr>
      <w:r>
        <w:rPr>
          <w:rFonts w:ascii="Calibri" w:hAnsi="Calibri"/>
          <w:b w:val="0"/>
          <w:i w:val="0"/>
          <w:color w:val="1B2A32"/>
          <w:sz w:val="21"/>
        </w:rPr>
        <w:t xml:space="preserve">Family users arrive under stress, often with limited legal literacy, and frequently more comfortable in a language other than English. The onboarding and forms are therefore designed to be </w:t>
      </w:r>
      <w:r>
        <w:rPr>
          <w:rFonts w:ascii="Calibri" w:hAnsi="Calibri"/>
          <w:b/>
          <w:i w:val="0"/>
          <w:color w:val="1B2A32"/>
          <w:sz w:val="21"/>
        </w:rPr>
        <w:t>plain-language, vernacular and trauma-informed</w:t>
      </w:r>
      <w:r>
        <w:rPr>
          <w:rFonts w:ascii="Calibri" w:hAnsi="Calibri"/>
          <w:b w:val="0"/>
          <w:i w:val="0"/>
          <w:color w:val="1B2A32"/>
          <w:sz w:val="21"/>
        </w:rPr>
        <w:t>: user-facing screens and the key forms (F-01, F-02, F-04, F-17) should be offered in Hindi and priority regional languages; wording avoids jargon and blame; flows are short, reassuring and mobile-first; and the interface supports WhatsApp/SMS touchpoints and, where needed, assisted (call-centre) intake for low-literacy users. Distressing prompts are softened, safety information is always one tap away, and no user is forced down a path without a clearly explained, non-committal exit.</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Bilingual, plain-language delivery is both an inclusion measure and a validity safeguard: consent and settlement are only meaningful if the party genuinely understood them. Translations of the forms are recommended as an immediate next build item.</w:t>
            </w:r>
          </w:p>
        </w:tc>
      </w:tr>
    </w:tbl>
    <w:p>
      <w:pPr>
        <w:spacing w:after="120"/>
      </w:pPr>
    </w:p>
    <w:p>
      <w:pPr>
        <w:keepNext/>
        <w:spacing w:before="320" w:after="140"/>
        <w:pBdr>
          <w:bottom w:val="single" w:sz="12" w:space="3" w:color="C6A15B"/>
        </w:pBdr>
      </w:pPr>
      <w:r>
        <w:rPr>
          <w:rFonts w:ascii="Calibri" w:hAnsi="Calibri"/>
          <w:b/>
          <w:i w:val="0"/>
          <w:color w:val="123B4F"/>
          <w:sz w:val="34"/>
        </w:rPr>
        <w:t>13.  End-to-End Workflow</w:t>
      </w:r>
    </w:p>
    <w:p>
      <w:pPr>
        <w:spacing w:after="140"/>
        <w:jc w:val="both"/>
      </w:pPr>
      <w:r>
        <w:rPr>
          <w:rFonts w:ascii="Calibri" w:hAnsi="Calibri"/>
          <w:b w:val="0"/>
          <w:i w:val="0"/>
          <w:color w:val="1B2A32"/>
          <w:sz w:val="21"/>
        </w:rPr>
        <w:t>The case moves through fourteen defined stages from first visit to enforceable closure. The master workflow (Figure 6) shows the spine; the sub-sections that follow, and the permutation matrix in Section 21, handle the branches — what happens when the respondent declines, when there is no settlement, when there is domestic violence, a pending FIR, a child, an NRI party, or only a partial settlement.</w:t>
      </w:r>
    </w:p>
    <w:p>
      <w:pPr>
        <w:spacing w:before="80" w:after="40"/>
        <w:jc w:val="center"/>
      </w:pPr>
      <w:r>
        <w:drawing>
          <wp:inline xmlns:a="http://schemas.openxmlformats.org/drawingml/2006/main" xmlns:pic="http://schemas.openxmlformats.org/drawingml/2006/picture">
            <wp:extent cx="4114800" cy="8110647"/>
            <wp:docPr id="7" name="Picture 7"/>
            <wp:cNvGraphicFramePr>
              <a:graphicFrameLocks noChangeAspect="1"/>
            </wp:cNvGraphicFramePr>
            <a:graphic>
              <a:graphicData uri="http://schemas.openxmlformats.org/drawingml/2006/picture">
                <pic:pic>
                  <pic:nvPicPr>
                    <pic:cNvPr id="0" name="01_master_workflow.png"/>
                    <pic:cNvPicPr/>
                  </pic:nvPicPr>
                  <pic:blipFill>
                    <a:blip r:embed="rId15"/>
                    <a:stretch>
                      <a:fillRect/>
                    </a:stretch>
                  </pic:blipFill>
                  <pic:spPr>
                    <a:xfrm>
                      <a:off x="0" y="0"/>
                      <a:ext cx="4114800" cy="8110647"/>
                    </a:xfrm>
                    <a:prstGeom prst="rect"/>
                  </pic:spPr>
                </pic:pic>
              </a:graphicData>
            </a:graphic>
          </wp:inline>
        </w:drawing>
      </w:r>
    </w:p>
    <w:p>
      <w:pPr>
        <w:spacing w:before="20" w:after="200"/>
        <w:jc w:val="center"/>
      </w:pPr>
      <w:r>
        <w:rPr>
          <w:rFonts w:ascii="Calibri" w:hAnsi="Calibri"/>
          <w:b w:val="0"/>
          <w:i/>
          <w:color w:val="556168"/>
          <w:sz w:val="17"/>
        </w:rPr>
        <w:t>Figure 6 — The fourteen-stage master workflow, from intake to a settlement enforceable as a decree.</w:t>
      </w:r>
    </w:p>
    <w:p>
      <w:pPr>
        <w:keepNext/>
        <w:spacing w:before="220" w:after="80"/>
      </w:pPr>
      <w:r>
        <w:rPr>
          <w:rFonts w:ascii="Calibri" w:hAnsi="Calibri"/>
          <w:b/>
          <w:i w:val="0"/>
          <w:color w:val="1E7A8C"/>
          <w:sz w:val="26"/>
        </w:rPr>
        <w:t>13.1   Stage narrative</w:t>
      </w:r>
    </w:p>
    <w:p>
      <w:pPr>
        <w:pStyle w:val="ListNumber"/>
        <w:spacing w:after="60"/>
        <w:jc w:val="both"/>
      </w:pPr>
      <w:r>
        <w:rPr>
          <w:rFonts w:ascii="Calibri" w:hAnsi="Calibri"/>
          <w:b/>
          <w:i w:val="0"/>
          <w:color w:val="1B2A32"/>
          <w:sz w:val="21"/>
        </w:rPr>
        <w:t>Dispute Explorer &amp; registration:</w:t>
      </w:r>
      <w:r>
        <w:rPr>
          <w:rFonts w:ascii="Calibri" w:hAnsi="Calibri"/>
          <w:b w:val="0"/>
          <w:i w:val="0"/>
          <w:color w:val="1B2A32"/>
          <w:sz w:val="21"/>
        </w:rPr>
        <w:t xml:space="preserve"> the party self-assesses, creates an account, completes KYC and DPDP consent, and files.</w:t>
      </w:r>
    </w:p>
    <w:p>
      <w:pPr>
        <w:pStyle w:val="ListNumber"/>
        <w:spacing w:after="60"/>
        <w:jc w:val="both"/>
      </w:pPr>
      <w:r>
        <w:rPr>
          <w:rFonts w:ascii="Calibri" w:hAnsi="Calibri"/>
          <w:b/>
          <w:i w:val="0"/>
          <w:color w:val="1B2A32"/>
          <w:sz w:val="21"/>
        </w:rPr>
        <w:t>Request for Mediation:</w:t>
      </w:r>
      <w:r>
        <w:rPr>
          <w:rFonts w:ascii="Calibri" w:hAnsi="Calibri"/>
          <w:b w:val="0"/>
          <w:i w:val="0"/>
          <w:color w:val="1B2A32"/>
          <w:sz w:val="21"/>
        </w:rPr>
        <w:t xml:space="preserve"> the applicant states the marriage regime, issues, relief and mediator preference (Forms Pack, Form F-02).</w:t>
      </w:r>
    </w:p>
    <w:p>
      <w:pPr>
        <w:pStyle w:val="ListNumber"/>
        <w:spacing w:after="60"/>
        <w:jc w:val="both"/>
      </w:pPr>
      <w:r>
        <w:rPr>
          <w:rFonts w:ascii="Calibri" w:hAnsi="Calibri"/>
          <w:b/>
          <w:i w:val="0"/>
          <w:color w:val="1B2A32"/>
          <w:sz w:val="21"/>
        </w:rPr>
        <w:t>Screening &amp; fit check:</w:t>
      </w:r>
      <w:r>
        <w:rPr>
          <w:rFonts w:ascii="Calibri" w:hAnsi="Calibri"/>
          <w:b w:val="0"/>
          <w:i w:val="0"/>
          <w:color w:val="1B2A32"/>
          <w:sz w:val="21"/>
        </w:rPr>
        <w:t xml:space="preserve"> the case manager applies the triage; excluded or unsuitable matters are declined with a guided referral.</w:t>
      </w:r>
    </w:p>
    <w:p>
      <w:pPr>
        <w:pStyle w:val="ListNumber"/>
        <w:spacing w:after="60"/>
        <w:jc w:val="both"/>
      </w:pPr>
      <w:r>
        <w:rPr>
          <w:rFonts w:ascii="Calibri" w:hAnsi="Calibri"/>
          <w:b/>
          <w:i w:val="0"/>
          <w:color w:val="1B2A32"/>
          <w:sz w:val="21"/>
        </w:rPr>
        <w:t>Notice to respondent:</w:t>
      </w:r>
      <w:r>
        <w:rPr>
          <w:rFonts w:ascii="Calibri" w:hAnsi="Calibri"/>
          <w:b w:val="0"/>
          <w:i w:val="0"/>
          <w:color w:val="1B2A32"/>
          <w:sz w:val="21"/>
        </w:rPr>
        <w:t xml:space="preserve"> Equator formally invites the other spouse to participate, with a defined window to respond (Form F-03).</w:t>
      </w:r>
    </w:p>
    <w:p>
      <w:pPr>
        <w:pStyle w:val="ListNumber"/>
        <w:spacing w:after="60"/>
        <w:jc w:val="both"/>
      </w:pPr>
      <w:r>
        <w:rPr>
          <w:rFonts w:ascii="Calibri" w:hAnsi="Calibri"/>
          <w:b/>
          <w:i w:val="0"/>
          <w:color w:val="1B2A32"/>
          <w:sz w:val="21"/>
        </w:rPr>
        <w:t>Response:</w:t>
      </w:r>
      <w:r>
        <w:rPr>
          <w:rFonts w:ascii="Calibri" w:hAnsi="Calibri"/>
          <w:b w:val="0"/>
          <w:i w:val="0"/>
          <w:color w:val="1B2A32"/>
          <w:sz w:val="21"/>
        </w:rPr>
        <w:t xml:space="preserve"> the respondent accepts and may add counter-issues (Form F-04); silence or refusal yields a Non-commencement Report (Form F-14).</w:t>
      </w:r>
    </w:p>
    <w:p>
      <w:pPr>
        <w:pStyle w:val="ListNumber"/>
        <w:spacing w:after="60"/>
        <w:jc w:val="both"/>
      </w:pPr>
      <w:r>
        <w:rPr>
          <w:rFonts w:ascii="Calibri" w:hAnsi="Calibri"/>
          <w:b/>
          <w:i w:val="0"/>
          <w:color w:val="1B2A32"/>
          <w:sz w:val="21"/>
        </w:rPr>
        <w:t>Mediator selection &amp; conflict check:</w:t>
      </w:r>
      <w:r>
        <w:rPr>
          <w:rFonts w:ascii="Calibri" w:hAnsi="Calibri"/>
          <w:b w:val="0"/>
          <w:i w:val="0"/>
          <w:color w:val="1B2A32"/>
          <w:sz w:val="21"/>
        </w:rPr>
        <w:t xml:space="preserve"> the parties select or are matched to an empanelled mediator, who clears a conflict check and signs a disclosure.</w:t>
      </w:r>
    </w:p>
    <w:p>
      <w:pPr>
        <w:pStyle w:val="ListNumber"/>
        <w:spacing w:after="60"/>
        <w:jc w:val="both"/>
      </w:pPr>
      <w:r>
        <w:rPr>
          <w:rFonts w:ascii="Calibri" w:hAnsi="Calibri"/>
          <w:b/>
          <w:i w:val="0"/>
          <w:color w:val="1B2A32"/>
          <w:sz w:val="21"/>
        </w:rPr>
        <w:t>Pre-mediation intake &amp; interim arrangements:</w:t>
      </w:r>
      <w:r>
        <w:rPr>
          <w:rFonts w:ascii="Calibri" w:hAnsi="Calibri"/>
          <w:b w:val="0"/>
          <w:i w:val="0"/>
          <w:color w:val="1B2A32"/>
          <w:sz w:val="21"/>
        </w:rPr>
        <w:t xml:space="preserve"> the mediator holds an orientation; urgent interim terms (interim maintenance, a child's schooling, no-contact) can be recorded.</w:t>
      </w:r>
    </w:p>
    <w:p>
      <w:pPr>
        <w:pStyle w:val="ListNumber"/>
        <w:spacing w:after="60"/>
        <w:jc w:val="both"/>
      </w:pPr>
      <w:r>
        <w:rPr>
          <w:rFonts w:ascii="Calibri" w:hAnsi="Calibri"/>
          <w:b/>
          <w:i w:val="0"/>
          <w:color w:val="1B2A32"/>
          <w:sz w:val="21"/>
        </w:rPr>
        <w:t>Mediation sessions:</w:t>
      </w:r>
      <w:r>
        <w:rPr>
          <w:rFonts w:ascii="Calibri" w:hAnsi="Calibri"/>
          <w:b w:val="0"/>
          <w:i w:val="0"/>
          <w:color w:val="1B2A32"/>
          <w:sz w:val="21"/>
        </w:rPr>
        <w:t xml:space="preserve"> joint sessions and private caucuses, online, in-person or hybrid, within the statutory clock.</w:t>
      </w:r>
    </w:p>
    <w:p>
      <w:pPr>
        <w:pStyle w:val="ListNumber"/>
        <w:spacing w:after="60"/>
        <w:jc w:val="both"/>
      </w:pPr>
      <w:r>
        <w:rPr>
          <w:rFonts w:ascii="Calibri" w:hAnsi="Calibri"/>
          <w:b/>
          <w:i w:val="0"/>
          <w:color w:val="1B2A32"/>
          <w:sz w:val="21"/>
        </w:rPr>
        <w:t>Outcome:</w:t>
      </w:r>
      <w:r>
        <w:rPr>
          <w:rFonts w:ascii="Calibri" w:hAnsi="Calibri"/>
          <w:b w:val="0"/>
          <w:i w:val="0"/>
          <w:color w:val="1B2A32"/>
          <w:sz w:val="21"/>
        </w:rPr>
        <w:t xml:space="preserve"> full settlement, partial settlement, or impasse.</w:t>
      </w:r>
    </w:p>
    <w:p>
      <w:pPr>
        <w:pStyle w:val="ListNumber"/>
        <w:spacing w:after="60"/>
        <w:jc w:val="both"/>
      </w:pPr>
      <w:r>
        <w:rPr>
          <w:rFonts w:ascii="Calibri" w:hAnsi="Calibri"/>
          <w:b/>
          <w:i w:val="0"/>
          <w:color w:val="1B2A32"/>
          <w:sz w:val="21"/>
        </w:rPr>
        <w:t>MSA:</w:t>
      </w:r>
      <w:r>
        <w:rPr>
          <w:rFonts w:ascii="Calibri" w:hAnsi="Calibri"/>
          <w:b w:val="0"/>
          <w:i w:val="0"/>
          <w:color w:val="1B2A32"/>
          <w:sz w:val="21"/>
        </w:rPr>
        <w:t xml:space="preserve"> on settlement, the mediator drafts the Mediated Settlement Agreement; the parties (and mediator) sign; it is authenticated (Form F-10).</w:t>
      </w:r>
    </w:p>
    <w:p>
      <w:pPr>
        <w:pStyle w:val="ListNumber"/>
        <w:spacing w:after="60"/>
        <w:jc w:val="both"/>
      </w:pPr>
      <w:r>
        <w:rPr>
          <w:rFonts w:ascii="Calibri" w:hAnsi="Calibri"/>
          <w:b/>
          <w:i w:val="0"/>
          <w:color w:val="1B2A32"/>
          <w:sz w:val="21"/>
        </w:rPr>
        <w:t>Escrow:</w:t>
      </w:r>
      <w:r>
        <w:rPr>
          <w:rFonts w:ascii="Calibri" w:hAnsi="Calibri"/>
          <w:b w:val="0"/>
          <w:i w:val="0"/>
          <w:color w:val="1B2A32"/>
          <w:sz w:val="21"/>
        </w:rPr>
        <w:t xml:space="preserve"> any money leg is routed through escrow and released against defined milestones.</w:t>
      </w:r>
    </w:p>
    <w:p>
      <w:pPr>
        <w:pStyle w:val="ListNumber"/>
        <w:spacing w:after="60"/>
        <w:jc w:val="both"/>
      </w:pPr>
      <w:r>
        <w:rPr>
          <w:rFonts w:ascii="Calibri" w:hAnsi="Calibri"/>
          <w:b/>
          <w:i w:val="0"/>
          <w:color w:val="1B2A32"/>
          <w:sz w:val="21"/>
        </w:rPr>
        <w:t>Criminal closure:</w:t>
      </w:r>
      <w:r>
        <w:rPr>
          <w:rFonts w:ascii="Calibri" w:hAnsi="Calibri"/>
          <w:b w:val="0"/>
          <w:i w:val="0"/>
          <w:color w:val="1B2A32"/>
          <w:sz w:val="21"/>
        </w:rPr>
        <w:t xml:space="preserve"> cross-FIRs are carried to withdrawal, compounding or quashing (Form F-12).</w:t>
      </w:r>
    </w:p>
    <w:p>
      <w:pPr>
        <w:pStyle w:val="ListNumber"/>
        <w:spacing w:after="60"/>
        <w:jc w:val="both"/>
      </w:pPr>
      <w:r>
        <w:rPr>
          <w:rFonts w:ascii="Calibri" w:hAnsi="Calibri"/>
          <w:b/>
          <w:i w:val="0"/>
          <w:color w:val="1B2A32"/>
          <w:sz w:val="21"/>
        </w:rPr>
        <w:t>Registration &amp; decree:</w:t>
      </w:r>
      <w:r>
        <w:rPr>
          <w:rFonts w:ascii="Calibri" w:hAnsi="Calibri"/>
          <w:b w:val="0"/>
          <w:i w:val="0"/>
          <w:color w:val="1B2A32"/>
          <w:sz w:val="21"/>
        </w:rPr>
        <w:t xml:space="preserve"> the MSA is registered; status changes (divorce, custody) are effected through the competent court.</w:t>
      </w:r>
    </w:p>
    <w:p>
      <w:pPr>
        <w:pStyle w:val="ListNumber"/>
        <w:spacing w:after="60"/>
        <w:jc w:val="both"/>
      </w:pPr>
      <w:r>
        <w:rPr>
          <w:rFonts w:ascii="Calibri" w:hAnsi="Calibri"/>
          <w:b/>
          <w:i w:val="0"/>
          <w:color w:val="1B2A32"/>
          <w:sz w:val="21"/>
        </w:rPr>
        <w:t>Closure:</w:t>
      </w:r>
      <w:r>
        <w:rPr>
          <w:rFonts w:ascii="Calibri" w:hAnsi="Calibri"/>
          <w:b w:val="0"/>
          <w:i w:val="0"/>
          <w:color w:val="1B2A32"/>
          <w:sz w:val="21"/>
        </w:rPr>
        <w:t xml:space="preserve"> the case is closed as settled and enforceable as a decree, or, where mediation failed, closed with a Non-settlement Report that preserves the parties' court remedies.</w:t>
      </w:r>
    </w:p>
    <w:p>
      <w:pPr>
        <w:spacing w:after="40"/>
      </w:pPr>
    </w:p>
    <w:p>
      <w:pPr>
        <w:keepNext/>
        <w:spacing w:before="320" w:after="140"/>
        <w:pBdr>
          <w:bottom w:val="single" w:sz="12" w:space="3" w:color="C6A15B"/>
        </w:pBdr>
      </w:pPr>
      <w:r>
        <w:rPr>
          <w:rFonts w:ascii="Calibri" w:hAnsi="Calibri"/>
          <w:b/>
          <w:i w:val="0"/>
          <w:color w:val="123B4F"/>
          <w:sz w:val="34"/>
        </w:rPr>
        <w:t>14.  Initiation by Either Party &amp; Response</w:t>
      </w:r>
    </w:p>
    <w:p>
      <w:pPr>
        <w:spacing w:after="140"/>
        <w:jc w:val="both"/>
      </w:pPr>
      <w:r>
        <w:rPr>
          <w:rFonts w:ascii="Calibri" w:hAnsi="Calibri"/>
          <w:b w:val="0"/>
          <w:i w:val="0"/>
          <w:color w:val="1B2A32"/>
          <w:sz w:val="21"/>
        </w:rPr>
        <w:t xml:space="preserve">Equator is deliberately </w:t>
      </w:r>
      <w:r>
        <w:rPr>
          <w:rFonts w:ascii="Calibri" w:hAnsi="Calibri"/>
          <w:b/>
          <w:i w:val="0"/>
          <w:color w:val="1B2A32"/>
          <w:sz w:val="21"/>
        </w:rPr>
        <w:t>symmetrical</w:t>
      </w:r>
      <w:r>
        <w:rPr>
          <w:rFonts w:ascii="Calibri" w:hAnsi="Calibri"/>
          <w:b w:val="0"/>
          <w:i w:val="0"/>
          <w:color w:val="1B2A32"/>
          <w:sz w:val="21"/>
        </w:rPr>
        <w:t xml:space="preserve">: either the husband or the wife may open a case, and the process reads identically from either side. The initiator becomes the Applicant; the other spouse becomes the Respondent, invited by a formal notice served through the channels the applicant provides (email, SMS, WhatsApp, and, where needed, physical service). The Respondent can accept and add their own issues and relief, so that the mediation covers the </w:t>
      </w:r>
      <w:r>
        <w:rPr>
          <w:rFonts w:ascii="Calibri" w:hAnsi="Calibri"/>
          <w:b/>
          <w:i w:val="0"/>
          <w:color w:val="1B2A32"/>
          <w:sz w:val="21"/>
        </w:rPr>
        <w:t>whole</w:t>
      </w:r>
      <w:r>
        <w:rPr>
          <w:rFonts w:ascii="Calibri" w:hAnsi="Calibri"/>
          <w:b w:val="0"/>
          <w:i w:val="0"/>
          <w:color w:val="1B2A32"/>
          <w:sz w:val="21"/>
        </w:rPr>
        <w:t xml:space="preserve"> dispute, not just the initiator's grievances. Because participation is voluntary, a Respondent may decline; the platform then issues a Non-commencement Report, which the applicant may use to demonstrate a bona fide attempt at mediation before or alongside court proceedings. Crucially, either party may </w:t>
      </w:r>
      <w:r>
        <w:rPr>
          <w:rFonts w:ascii="Calibri" w:hAnsi="Calibri"/>
          <w:b/>
          <w:i w:val="0"/>
          <w:color w:val="1B2A32"/>
          <w:sz w:val="21"/>
        </w:rPr>
        <w:t>withdraw</w:t>
      </w:r>
      <w:r>
        <w:rPr>
          <w:rFonts w:ascii="Calibri" w:hAnsi="Calibri"/>
          <w:b w:val="0"/>
          <w:i w:val="0"/>
          <w:color w:val="1B2A32"/>
          <w:sz w:val="21"/>
        </w:rPr>
        <w:t xml:space="preserve"> at any time, and the mediator or case manager may </w:t>
      </w:r>
      <w:r>
        <w:rPr>
          <w:rFonts w:ascii="Calibri" w:hAnsi="Calibri"/>
          <w:b/>
          <w:i w:val="0"/>
          <w:color w:val="1B2A32"/>
          <w:sz w:val="21"/>
        </w:rPr>
        <w:t>pause or terminate</w:t>
      </w:r>
      <w:r>
        <w:rPr>
          <w:rFonts w:ascii="Calibri" w:hAnsi="Calibri"/>
          <w:b w:val="0"/>
          <w:i w:val="0"/>
          <w:color w:val="1B2A32"/>
          <w:sz w:val="21"/>
        </w:rPr>
        <w:t xml:space="preserve"> a mediation that becomes unsafe or is being used in bad faith.</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Symmetry and voluntariness are compliance features, not just UX choices: the Act's model is consensual, and family-court practice values a documented, good-faith attempt at settlement. Equator's notice, response and non-commencement artefacts create exactly that record.</w:t>
            </w:r>
          </w:p>
        </w:tc>
      </w:tr>
    </w:tbl>
    <w:p>
      <w:pPr>
        <w:spacing w:after="120"/>
      </w:pPr>
    </w:p>
    <w:p>
      <w:pPr>
        <w:keepNext/>
        <w:spacing w:before="320" w:after="140"/>
        <w:pBdr>
          <w:bottom w:val="single" w:sz="12" w:space="3" w:color="C6A15B"/>
        </w:pBdr>
      </w:pPr>
      <w:r>
        <w:rPr>
          <w:rFonts w:ascii="Calibri" w:hAnsi="Calibri"/>
          <w:b/>
          <w:i w:val="0"/>
          <w:color w:val="123B4F"/>
          <w:sz w:val="34"/>
        </w:rPr>
        <w:t>15.  Mediator Selection &amp; Empanelment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Parties can pick a mediator they both trust, or let Equator recommend three matched profiles and choose from those; if they can't agree, Equator's committee appoints one. Every mediator is conflict-checked and empanelled to a quality standard. Parties can filter by language, gender, city, specialisation, mode and fee grade.</w:t>
            </w:r>
          </w:p>
        </w:tc>
      </w:tr>
    </w:tbl>
    <w:p>
      <w:pPr>
        <w:spacing w:after="120"/>
      </w:pPr>
    </w:p>
    <w:p>
      <w:pPr>
        <w:spacing w:after="140"/>
        <w:jc w:val="both"/>
      </w:pPr>
      <w:r>
        <w:rPr>
          <w:rFonts w:ascii="Calibri" w:hAnsi="Calibri"/>
          <w:b w:val="0"/>
          <w:i w:val="0"/>
          <w:color w:val="1B2A32"/>
          <w:sz w:val="21"/>
        </w:rPr>
        <w:t xml:space="preserve">Choice builds trust, so Equator gives the parties as much of it as possible while guaranteeing quality and neutrality. The panel is filterable by the attributes that matter in family matters — </w:t>
      </w:r>
      <w:r>
        <w:rPr>
          <w:rFonts w:ascii="Calibri" w:hAnsi="Calibri"/>
          <w:b/>
          <w:i w:val="0"/>
          <w:color w:val="1B2A32"/>
          <w:sz w:val="21"/>
        </w:rPr>
        <w:t>language, gender, city, specialisation</w:t>
      </w:r>
      <w:r>
        <w:rPr>
          <w:rFonts w:ascii="Calibri" w:hAnsi="Calibri"/>
          <w:b w:val="0"/>
          <w:i w:val="0"/>
          <w:color w:val="1B2A32"/>
          <w:sz w:val="21"/>
        </w:rPr>
        <w:t xml:space="preserve"> (e.g., Hindu/Muslim/Christian personal law, child custody, financial/property, NRI/cross-border), </w:t>
      </w:r>
      <w:r>
        <w:rPr>
          <w:rFonts w:ascii="Calibri" w:hAnsi="Calibri"/>
          <w:b/>
          <w:i w:val="0"/>
          <w:color w:val="1B2A32"/>
          <w:sz w:val="21"/>
        </w:rPr>
        <w:t>mode</w:t>
      </w:r>
      <w:r>
        <w:rPr>
          <w:rFonts w:ascii="Calibri" w:hAnsi="Calibri"/>
          <w:b w:val="0"/>
          <w:i w:val="0"/>
          <w:color w:val="1B2A32"/>
          <w:sz w:val="21"/>
        </w:rPr>
        <w:t xml:space="preserve"> (online, in-person, hybrid), </w:t>
      </w:r>
      <w:r>
        <w:rPr>
          <w:rFonts w:ascii="Calibri" w:hAnsi="Calibri"/>
          <w:b/>
          <w:i w:val="0"/>
          <w:color w:val="1B2A32"/>
          <w:sz w:val="21"/>
        </w:rPr>
        <w:t>fee grade</w:t>
      </w:r>
      <w:r>
        <w:rPr>
          <w:rFonts w:ascii="Calibri" w:hAnsi="Calibri"/>
          <w:b w:val="0"/>
          <w:i w:val="0"/>
          <w:color w:val="1B2A32"/>
          <w:sz w:val="21"/>
        </w:rPr>
        <w:t xml:space="preserve"> (A/B/C), MCI registration status, experience and party ratings. Selection follows one of three paths: the parties </w:t>
      </w:r>
      <w:r>
        <w:rPr>
          <w:rFonts w:ascii="Calibri" w:hAnsi="Calibri"/>
          <w:b/>
          <w:i w:val="0"/>
          <w:color w:val="1B2A32"/>
          <w:sz w:val="21"/>
        </w:rPr>
        <w:t>jointly name</w:t>
      </w:r>
      <w:r>
        <w:rPr>
          <w:rFonts w:ascii="Calibri" w:hAnsi="Calibri"/>
          <w:b w:val="0"/>
          <w:i w:val="0"/>
          <w:color w:val="1B2A32"/>
          <w:sz w:val="21"/>
        </w:rPr>
        <w:t xml:space="preserve"> a mediator; Equator </w:t>
      </w:r>
      <w:r>
        <w:rPr>
          <w:rFonts w:ascii="Calibri" w:hAnsi="Calibri"/>
          <w:b/>
          <w:i w:val="0"/>
          <w:color w:val="1B2A32"/>
          <w:sz w:val="21"/>
        </w:rPr>
        <w:t>recommends three</w:t>
      </w:r>
      <w:r>
        <w:rPr>
          <w:rFonts w:ascii="Calibri" w:hAnsi="Calibri"/>
          <w:b w:val="0"/>
          <w:i w:val="0"/>
          <w:color w:val="1B2A32"/>
          <w:sz w:val="21"/>
        </w:rPr>
        <w:t xml:space="preserve"> matched profiles which the parties rank; or, failing agreement, the </w:t>
      </w:r>
      <w:r>
        <w:rPr>
          <w:rFonts w:ascii="Calibri" w:hAnsi="Calibri"/>
          <w:b/>
          <w:i w:val="0"/>
          <w:color w:val="1B2A32"/>
          <w:sz w:val="21"/>
        </w:rPr>
        <w:t>Empanelment Committee institutionally appoints</w:t>
      </w:r>
      <w:r>
        <w:rPr>
          <w:rFonts w:ascii="Calibri" w:hAnsi="Calibri"/>
          <w:b w:val="0"/>
          <w:i w:val="0"/>
          <w:color w:val="1B2A32"/>
          <w:sz w:val="21"/>
        </w:rPr>
        <w:t xml:space="preserve"> a suitable neutral. Whichever path is used, the chosen mediator must clear an </w:t>
      </w:r>
      <w:r>
        <w:rPr>
          <w:rFonts w:ascii="Calibri" w:hAnsi="Calibri"/>
          <w:b/>
          <w:i w:val="0"/>
          <w:color w:val="1B2A32"/>
          <w:sz w:val="21"/>
        </w:rPr>
        <w:t>automated conflict-of-interest check</w:t>
      </w:r>
      <w:r>
        <w:rPr>
          <w:rFonts w:ascii="Calibri" w:hAnsi="Calibri"/>
          <w:b w:val="0"/>
          <w:i w:val="0"/>
          <w:color w:val="1B2A32"/>
          <w:sz w:val="21"/>
        </w:rPr>
        <w:t xml:space="preserve"> against both parties and their representatives and sign a disclosure before the appointment order issues — within Equator's seven-day SLA. A mediator who discloses a conflict is replaced with the next profile.</w:t>
      </w:r>
    </w:p>
    <w:p>
      <w:pPr>
        <w:spacing w:before="80" w:after="40"/>
        <w:jc w:val="center"/>
      </w:pPr>
      <w:r>
        <w:drawing>
          <wp:inline xmlns:a="http://schemas.openxmlformats.org/drawingml/2006/main" xmlns:pic="http://schemas.openxmlformats.org/drawingml/2006/picture">
            <wp:extent cx="4206240" cy="5447277"/>
            <wp:docPr id="8" name="Picture 8"/>
            <wp:cNvGraphicFramePr>
              <a:graphicFrameLocks noChangeAspect="1"/>
            </wp:cNvGraphicFramePr>
            <a:graphic>
              <a:graphicData uri="http://schemas.openxmlformats.org/drawingml/2006/picture">
                <pic:pic>
                  <pic:nvPicPr>
                    <pic:cNvPr id="0" name="04_mediator_selection.png"/>
                    <pic:cNvPicPr/>
                  </pic:nvPicPr>
                  <pic:blipFill>
                    <a:blip r:embed="rId16"/>
                    <a:stretch>
                      <a:fillRect/>
                    </a:stretch>
                  </pic:blipFill>
                  <pic:spPr>
                    <a:xfrm>
                      <a:off x="0" y="0"/>
                      <a:ext cx="4206240" cy="5447277"/>
                    </a:xfrm>
                    <a:prstGeom prst="rect"/>
                  </pic:spPr>
                </pic:pic>
              </a:graphicData>
            </a:graphic>
          </wp:inline>
        </w:drawing>
      </w:r>
    </w:p>
    <w:p>
      <w:pPr>
        <w:spacing w:before="20" w:after="200"/>
        <w:jc w:val="center"/>
      </w:pPr>
      <w:r>
        <w:rPr>
          <w:rFonts w:ascii="Calibri" w:hAnsi="Calibri"/>
          <w:b w:val="0"/>
          <w:i/>
          <w:color w:val="556168"/>
          <w:sz w:val="17"/>
        </w:rPr>
        <w:t>Figure 7 — Three selection paths converge on a mandatory conflict check before appointment.</w:t>
      </w:r>
    </w:p>
    <w:p>
      <w:pPr>
        <w:keepNext/>
        <w:spacing w:before="220" w:after="80"/>
      </w:pPr>
      <w:r>
        <w:rPr>
          <w:rFonts w:ascii="Calibri" w:hAnsi="Calibri"/>
          <w:b/>
          <w:i w:val="0"/>
          <w:color w:val="1E7A8C"/>
          <w:sz w:val="26"/>
        </w:rPr>
        <w:t>15.1   Empanelment standard</w:t>
      </w:r>
    </w:p>
    <w:p>
      <w:pPr>
        <w:spacing w:after="140"/>
        <w:jc w:val="both"/>
      </w:pPr>
      <w:r>
        <w:rPr>
          <w:rFonts w:ascii="Calibri" w:hAnsi="Calibri"/>
          <w:b w:val="0"/>
          <w:i w:val="0"/>
          <w:color w:val="1B2A32"/>
          <w:sz w:val="21"/>
        </w:rPr>
        <w:t>Empanelment onto Equator's family panel requires accredited mediation training, adherence to the Equator Code of Conduct and confidentiality undertaking, a clean conflicts declaration, and — as the Mediation Council's framework matures — MCI registration. Panellists are graded (A/B/C) for fee and seniority, specialisation-tagged, and subject to continuous evaluation through post-case party feedback (Forms Pack, Form F-16), with de-empanelment for breaches of neutrality or confidentiality.</w:t>
      </w:r>
    </w:p>
    <w:p>
      <w:pPr>
        <w:keepNext/>
        <w:spacing w:before="320" w:after="140"/>
        <w:pBdr>
          <w:bottom w:val="single" w:sz="12" w:space="3" w:color="C6A15B"/>
        </w:pBdr>
      </w:pPr>
      <w:r>
        <w:rPr>
          <w:rFonts w:ascii="Calibri" w:hAnsi="Calibri"/>
          <w:b/>
          <w:i w:val="0"/>
          <w:color w:val="123B4F"/>
          <w:sz w:val="34"/>
        </w:rPr>
        <w:t>16.  Conducting Proceedings — The Case Manager Playbook</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case manager is Equator's engine-room. They don't mediate — the neutral does — but they keep the file moving on time, prepare the mediator, handle documents, notices, scheduling, escrow instructions and reports, and watch the clock and the safety flags. This playbook is what a case manager does, stage by stage.</w:t>
            </w:r>
          </w:p>
        </w:tc>
      </w:tr>
    </w:tbl>
    <w:p>
      <w:pPr>
        <w:spacing w:after="120"/>
      </w:pPr>
    </w:p>
    <w:p>
      <w:pPr>
        <w:spacing w:after="140"/>
        <w:jc w:val="both"/>
      </w:pPr>
      <w:r>
        <w:rPr>
          <w:rFonts w:ascii="Calibri" w:hAnsi="Calibri"/>
          <w:b w:val="0"/>
          <w:i w:val="0"/>
          <w:color w:val="1B2A32"/>
          <w:sz w:val="21"/>
        </w:rPr>
        <w:t xml:space="preserve">The case manager is the administrative spine of every file and the person who makes the time-bound promise real. The role is strictly </w:t>
      </w:r>
      <w:r>
        <w:rPr>
          <w:rFonts w:ascii="Calibri" w:hAnsi="Calibri"/>
          <w:b/>
          <w:i w:val="0"/>
          <w:color w:val="1B2A32"/>
          <w:sz w:val="21"/>
        </w:rPr>
        <w:t>non-adjudicative and non-legal-advisory</w:t>
      </w:r>
      <w:r>
        <w:rPr>
          <w:rFonts w:ascii="Calibri" w:hAnsi="Calibri"/>
          <w:b w:val="0"/>
          <w:i w:val="0"/>
          <w:color w:val="1B2A32"/>
          <w:sz w:val="21"/>
        </w:rPr>
        <w:t>: the case manager facilitates and administers, never advises a party on the merits or drafts their position. The playbook below is the standard operating rhythm; it is expanded into checklists in the Developer Handoff Workbook and the Forms Pack.</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Stage</w:t>
            </w:r>
          </w:p>
        </w:tc>
        <w:tc>
          <w:tcPr>
            <w:tcW w:type="dxa" w:w="5702"/>
            <w:shd w:val="clear" w:color="auto" w:fill="123B4F"/>
            <w:tcMar>
              <w:top w:w="60" w:type="dxa"/>
              <w:bottom w:w="60" w:type="dxa"/>
              <w:start w:w="110" w:type="dxa"/>
              <w:end w:w="110" w:type="dxa"/>
            </w:tcMar>
          </w:tcPr>
          <w:p>
            <w:pPr>
              <w:spacing w:after="0"/>
            </w:pPr>
            <w:r>
              <w:rPr>
                <w:rFonts w:ascii="Calibri" w:hAnsi="Calibri"/>
                <w:b/>
                <w:i w:val="0"/>
                <w:color w:val="FFFFFF"/>
                <w:sz w:val="17"/>
              </w:rPr>
              <w:t>Case-manager actions</w:t>
            </w:r>
          </w:p>
        </w:tc>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Key forms / outputs</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Intake &amp; screening</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Validate KYC &amp; consent; run suitability triage; classify by regime/issue; assign case number; safety flags</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Screening checklist; case record</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Notice &amp; response</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Serve notice on respondent; track response window; log acceptance/counter-issues or non-commencement</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F-03 Notice; F-04 Response; F-14 Report</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Mediator appointment</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Run panel filter; facilitate selection; execute conflict check; issue appointment order; obtain disclosure</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F-05 Preference; F-06 Conflict/Disclosure</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Pre-mediation</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Schedule orientation; assemble document bundle; record interim arrangements; set session calendar within the clock</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F-08 Interim arrangements; session plan</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Sessions</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Convene joint/caucus sessions; maintain confidentiality walls; log attendance &amp; timelines; manage extensions</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Session log; time-extension F-13</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Settlement</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Support mediator in MSA drafting; arrange e-signature &amp; authentication; set escrow &amp; criminal sequencing</w:t>
            </w:r>
          </w:p>
        </w:tc>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F-10 MSA; F-11 Escrow instruction</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Closure</w:t>
            </w:r>
          </w:p>
        </w:tc>
        <w:tc>
          <w:tcPr>
            <w:tcW w:type="dxa" w:w="5702"/>
            <w:tcMar>
              <w:top w:w="60" w:type="dxa"/>
              <w:bottom w:w="60" w:type="dxa"/>
              <w:start w:w="110" w:type="dxa"/>
              <w:end w:w="110" w:type="dxa"/>
            </w:tcMar>
          </w:tcPr>
          <w:p>
            <w:pPr>
              <w:spacing w:after="0"/>
              <w:jc w:val="left"/>
            </w:pPr>
            <w:r>
              <w:rPr>
                <w:rFonts w:ascii="Calibri" w:hAnsi="Calibri"/>
                <w:b w:val="0"/>
                <w:i w:val="0"/>
                <w:color w:val="1B2A32"/>
                <w:sz w:val="17"/>
              </w:rPr>
              <w:t>Trigger escrow release on milestones; coordinate quashing/registration; issue closure report; archive per retention policy</w:t>
            </w:r>
          </w:p>
        </w:tc>
        <w:tc>
          <w:tcPr>
            <w:tcW w:type="dxa" w:w="2281"/>
            <w:tcMar>
              <w:top w:w="60" w:type="dxa"/>
              <w:bottom w:w="60" w:type="dxa"/>
              <w:start w:w="110" w:type="dxa"/>
              <w:end w:w="110" w:type="dxa"/>
            </w:tcMar>
          </w:tcPr>
          <w:p>
            <w:pPr>
              <w:spacing w:after="0"/>
              <w:jc w:val="left"/>
            </w:pPr>
            <w:r>
              <w:rPr>
                <w:rFonts w:ascii="Calibri" w:hAnsi="Calibri"/>
                <w:b w:val="0"/>
                <w:i w:val="0"/>
                <w:color w:val="1B2A32"/>
                <w:sz w:val="17"/>
              </w:rPr>
              <w:t>F-12 Criminal closure; F-15 Closure report</w:t>
            </w:r>
          </w:p>
        </w:tc>
      </w:tr>
    </w:tbl>
    <w:p>
      <w:pPr>
        <w:spacing w:after="80"/>
      </w:pPr>
    </w:p>
    <w:p>
      <w:pPr>
        <w:spacing w:before="20" w:after="200"/>
        <w:jc w:val="center"/>
      </w:pPr>
      <w:r>
        <w:rPr>
          <w:rFonts w:ascii="Calibri" w:hAnsi="Calibri"/>
          <w:b w:val="0"/>
          <w:i/>
          <w:color w:val="556168"/>
          <w:sz w:val="17"/>
        </w:rPr>
        <w:t>Table 4 — The case-manager operating rhythm across the file's life.</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The case manager must hold two lines at all times: they do </w:t>
            </w:r>
            <w:r>
              <w:rPr>
                <w:rFonts w:ascii="Calibri" w:hAnsi="Calibri"/>
                <w:b/>
                <w:i w:val="0"/>
                <w:color w:val="1B2A32"/>
                <w:sz w:val="20"/>
              </w:rPr>
              <w:t>not</w:t>
            </w:r>
            <w:r>
              <w:rPr>
                <w:rFonts w:ascii="Calibri" w:hAnsi="Calibri"/>
                <w:b w:val="0"/>
                <w:i w:val="0"/>
                <w:color w:val="1B2A32"/>
                <w:sz w:val="20"/>
              </w:rPr>
              <w:t xml:space="preserve"> give legal advice or take sides, and they </w:t>
            </w:r>
            <w:r>
              <w:rPr>
                <w:rFonts w:ascii="Calibri" w:hAnsi="Calibri"/>
                <w:b/>
                <w:i w:val="0"/>
                <w:color w:val="1B2A32"/>
                <w:sz w:val="20"/>
              </w:rPr>
              <w:t>do</w:t>
            </w:r>
            <w:r>
              <w:rPr>
                <w:rFonts w:ascii="Calibri" w:hAnsi="Calibri"/>
                <w:b w:val="0"/>
                <w:i w:val="0"/>
                <w:color w:val="1B2A32"/>
                <w:sz w:val="20"/>
              </w:rPr>
              <w:t xml:space="preserve"> escalate any safety concern immediately. Both are disciplinary matters if breached and are audited.</w:t>
            </w:r>
          </w:p>
        </w:tc>
      </w:tr>
    </w:tbl>
    <w:p>
      <w:pPr>
        <w:spacing w:after="120"/>
      </w:pPr>
    </w:p>
    <w:p>
      <w:pPr>
        <w:keepNext/>
        <w:spacing w:before="220" w:after="80"/>
      </w:pPr>
      <w:r>
        <w:rPr>
          <w:rFonts w:ascii="Calibri" w:hAnsi="Calibri"/>
          <w:b/>
          <w:i w:val="0"/>
          <w:color w:val="1E7A8C"/>
          <w:sz w:val="26"/>
        </w:rPr>
        <w:t>16.1   Safety protocol &amp; domestic-violence risk assessment</w:t>
      </w:r>
    </w:p>
    <w:p>
      <w:pPr>
        <w:spacing w:after="140"/>
        <w:jc w:val="both"/>
      </w:pPr>
      <w:r>
        <w:rPr>
          <w:rFonts w:ascii="Calibri" w:hAnsi="Calibri"/>
          <w:b w:val="0"/>
          <w:i w:val="0"/>
          <w:color w:val="1B2A32"/>
          <w:sz w:val="21"/>
        </w:rPr>
        <w:t xml:space="preserve">Safety screening is not a one-time gate; it runs from intake through every session. The case manager and mediator apply the checklist below. Any 'yes' to a high-risk indicator triggers the safety protocol: no joint sessions, shuttle or separate-caucus mediation only, no exchange of contact details, a documented safety assessment, and referral to a Protection Officer or the police as appropriate. Where risk is severe, the matter is treated as </w:t>
      </w:r>
      <w:r>
        <w:rPr>
          <w:rFonts w:ascii="Calibri" w:hAnsi="Calibri"/>
          <w:b/>
          <w:i w:val="0"/>
          <w:color w:val="1B2A32"/>
          <w:sz w:val="21"/>
        </w:rPr>
        <w:t>unsuitable for mediation</w:t>
      </w:r>
      <w:r>
        <w:rPr>
          <w:rFonts w:ascii="Calibri" w:hAnsi="Calibri"/>
          <w:b w:val="0"/>
          <w:i w:val="0"/>
          <w:color w:val="1B2A32"/>
          <w:sz w:val="21"/>
        </w:rPr>
        <w:t xml:space="preserve"> and directed to the court.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5512"/>
            <w:shd w:val="clear" w:color="auto" w:fill="123B4F"/>
            <w:tcMar>
              <w:top w:w="60" w:type="dxa"/>
              <w:bottom w:w="60" w:type="dxa"/>
              <w:start w:w="110" w:type="dxa"/>
              <w:end w:w="110" w:type="dxa"/>
            </w:tcMar>
          </w:tcPr>
          <w:p>
            <w:pPr>
              <w:spacing w:after="0"/>
            </w:pPr>
            <w:r>
              <w:rPr>
                <w:rFonts w:ascii="Calibri" w:hAnsi="Calibri"/>
                <w:b/>
                <w:i w:val="0"/>
                <w:color w:val="FFFFFF"/>
                <w:sz w:val="17"/>
              </w:rPr>
              <w:t>Indicator (screen at intake and each session)</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7"/>
              </w:rPr>
              <w:t>If present</w:t>
            </w:r>
          </w:p>
        </w:tc>
      </w:tr>
      <w:tr>
        <w:trPr>
          <w:trHeight w:val="0"/>
        </w:trPr>
        <w:tc>
          <w:tcPr>
            <w:tcW w:type="dxa" w:w="5512"/>
            <w:tcMar>
              <w:top w:w="60" w:type="dxa"/>
              <w:bottom w:w="60" w:type="dxa"/>
              <w:start w:w="110" w:type="dxa"/>
              <w:end w:w="110" w:type="dxa"/>
            </w:tcMar>
          </w:tcPr>
          <w:p>
            <w:pPr>
              <w:spacing w:after="0"/>
              <w:jc w:val="left"/>
            </w:pPr>
            <w:r>
              <w:rPr>
                <w:rFonts w:ascii="Calibri" w:hAnsi="Calibri"/>
                <w:b w:val="0"/>
                <w:i w:val="0"/>
                <w:color w:val="1B2A32"/>
                <w:sz w:val="17"/>
              </w:rPr>
              <w:t>History or ongoing threat of physical violence</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High risk → safety protocol; consider unsuitability</w:t>
            </w:r>
          </w:p>
        </w:tc>
      </w:tr>
      <w:tr>
        <w:trPr>
          <w:trHeight w:val="0"/>
        </w:trPr>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Fear of the other party / reluctance to be in same room</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Separate/shuttle sessions only</w:t>
            </w:r>
          </w:p>
        </w:tc>
      </w:tr>
      <w:tr>
        <w:trPr>
          <w:trHeight w:val="0"/>
        </w:trPr>
        <w:tc>
          <w:tcPr>
            <w:tcW w:type="dxa" w:w="5512"/>
            <w:tcMar>
              <w:top w:w="60" w:type="dxa"/>
              <w:bottom w:w="60" w:type="dxa"/>
              <w:start w:w="110" w:type="dxa"/>
              <w:end w:w="110" w:type="dxa"/>
            </w:tcMar>
          </w:tcPr>
          <w:p>
            <w:pPr>
              <w:spacing w:after="0"/>
              <w:jc w:val="left"/>
            </w:pPr>
            <w:r>
              <w:rPr>
                <w:rFonts w:ascii="Calibri" w:hAnsi="Calibri"/>
                <w:b w:val="0"/>
                <w:i w:val="0"/>
                <w:color w:val="1B2A32"/>
                <w:sz w:val="17"/>
              </w:rPr>
              <w:t>Coercion or control by a spouse or relatives</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Private caucus; test voluntariness; watch third-party influence</w:t>
            </w:r>
          </w:p>
        </w:tc>
      </w:tr>
      <w:tr>
        <w:trPr>
          <w:trHeight w:val="0"/>
        </w:trPr>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Threats regarding children or abduction risk</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Prioritise child safety; interim measures; court referral</w:t>
            </w:r>
          </w:p>
        </w:tc>
      </w:tr>
      <w:tr>
        <w:trPr>
          <w:trHeight w:val="0"/>
        </w:trPr>
        <w:tc>
          <w:tcPr>
            <w:tcW w:type="dxa" w:w="5512"/>
            <w:tcMar>
              <w:top w:w="60" w:type="dxa"/>
              <w:bottom w:w="60" w:type="dxa"/>
              <w:start w:w="110" w:type="dxa"/>
              <w:end w:w="110" w:type="dxa"/>
            </w:tcMar>
          </w:tcPr>
          <w:p>
            <w:pPr>
              <w:spacing w:after="0"/>
              <w:jc w:val="left"/>
            </w:pPr>
            <w:r>
              <w:rPr>
                <w:rFonts w:ascii="Calibri" w:hAnsi="Calibri"/>
                <w:b w:val="0"/>
                <w:i w:val="0"/>
                <w:color w:val="1B2A32"/>
                <w:sz w:val="17"/>
              </w:rPr>
              <w:t>Active FIR / protection order between parties</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Do not breach any order; coordinate with the criminal track</w:t>
            </w:r>
          </w:p>
        </w:tc>
      </w:tr>
      <w:tr>
        <w:trPr>
          <w:trHeight w:val="0"/>
        </w:trPr>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Substance abuse / weapon access disclosed</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Escalate; do not proceed jointly; refer to authorities</w:t>
            </w:r>
          </w:p>
        </w:tc>
      </w:tr>
      <w:tr>
        <w:trPr>
          <w:trHeight w:val="0"/>
        </w:trPr>
        <w:tc>
          <w:tcPr>
            <w:tcW w:type="dxa" w:w="5512"/>
            <w:tcMar>
              <w:top w:w="60" w:type="dxa"/>
              <w:bottom w:w="60" w:type="dxa"/>
              <w:start w:w="110" w:type="dxa"/>
              <w:end w:w="110" w:type="dxa"/>
            </w:tcMar>
          </w:tcPr>
          <w:p>
            <w:pPr>
              <w:spacing w:after="0"/>
              <w:jc w:val="left"/>
            </w:pPr>
            <w:r>
              <w:rPr>
                <w:rFonts w:ascii="Calibri" w:hAnsi="Calibri"/>
                <w:b w:val="0"/>
                <w:i w:val="0"/>
                <w:color w:val="1B2A32"/>
                <w:sz w:val="17"/>
              </w:rPr>
              <w:t>Power imbalance (financial, informational, linguistic)</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Level the process: independent advice, interpreter, time</w:t>
            </w:r>
          </w:p>
        </w:tc>
      </w:tr>
    </w:tbl>
    <w:p>
      <w:pPr>
        <w:spacing w:after="80"/>
      </w:pPr>
    </w:p>
    <w:p>
      <w:pPr>
        <w:spacing w:before="20" w:after="200"/>
        <w:jc w:val="center"/>
      </w:pPr>
      <w:r>
        <w:rPr>
          <w:rFonts w:ascii="Calibri" w:hAnsi="Calibri"/>
          <w:b w:val="0"/>
          <w:i/>
          <w:color w:val="556168"/>
          <w:sz w:val="17"/>
        </w:rPr>
        <w:t>Table — Domestic-violence &amp; power-imbalance screen (applied throughout, not once).</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Domestic-violence disclosures are </w:t>
            </w:r>
            <w:r>
              <w:rPr>
                <w:rFonts w:ascii="Calibri" w:hAnsi="Calibri"/>
                <w:b/>
                <w:i w:val="0"/>
                <w:color w:val="1B2A32"/>
                <w:sz w:val="20"/>
              </w:rPr>
              <w:t>not</w:t>
            </w:r>
            <w:r>
              <w:rPr>
                <w:rFonts w:ascii="Calibri" w:hAnsi="Calibri"/>
                <w:b w:val="0"/>
                <w:i w:val="0"/>
                <w:color w:val="1B2A32"/>
                <w:sz w:val="20"/>
              </w:rPr>
              <w:t xml:space="preserve"> protected by mediation confidentiality (Mediation Act s.22). The protocol protects the vulnerable party first; a settlement is never pursued at the cost of safety, and a breach of a protection order can never be 'settled away'.</w:t>
            </w:r>
          </w:p>
        </w:tc>
      </w:tr>
    </w:tbl>
    <w:p>
      <w:pPr>
        <w:spacing w:after="120"/>
      </w:pPr>
    </w:p>
    <w:p>
      <w:pPr>
        <w:keepNext/>
        <w:spacing w:before="320" w:after="140"/>
        <w:pBdr>
          <w:bottom w:val="single" w:sz="12" w:space="3" w:color="C6A15B"/>
        </w:pBdr>
      </w:pPr>
      <w:r>
        <w:rPr>
          <w:rFonts w:ascii="Calibri" w:hAnsi="Calibri"/>
          <w:b/>
          <w:i w:val="0"/>
          <w:color w:val="123B4F"/>
          <w:sz w:val="34"/>
        </w:rPr>
        <w:t>17.  Time-Bound Procedure &amp; Service Levels</w:t>
      </w:r>
    </w:p>
    <w:p>
      <w:pPr>
        <w:spacing w:after="140"/>
        <w:jc w:val="both"/>
      </w:pPr>
      <w:r>
        <w:rPr>
          <w:rFonts w:ascii="Calibri" w:hAnsi="Calibri"/>
          <w:b w:val="0"/>
          <w:i w:val="0"/>
          <w:color w:val="1B2A32"/>
          <w:sz w:val="21"/>
        </w:rPr>
        <w:t xml:space="preserve">Equator layers its own service levels on top of the statutory 120-plus-60-day clock so that the front end never drifts. The clock the Act cares about starts at the </w:t>
      </w:r>
      <w:r>
        <w:rPr>
          <w:rFonts w:ascii="Calibri" w:hAnsi="Calibri"/>
          <w:b/>
          <w:i w:val="0"/>
          <w:color w:val="1B2A32"/>
          <w:sz w:val="21"/>
        </w:rPr>
        <w:t>first appearance before the mediator</w:t>
      </w:r>
      <w:r>
        <w:rPr>
          <w:rFonts w:ascii="Calibri" w:hAnsi="Calibri"/>
          <w:b w:val="0"/>
          <w:i w:val="0"/>
          <w:color w:val="1B2A32"/>
          <w:sz w:val="21"/>
        </w:rPr>
        <w:t>; everything before that — registration, notice, response, appointment — runs on Equator's internal SLAs.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8"/>
              </w:rPr>
              <w:t>Milestone</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8"/>
              </w:rPr>
              <w:t>Target (indicative)</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8"/>
              </w:rPr>
              <w:t>Basis</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Case registration after complete filing</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1–2 working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Notice served on respondent</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Within 3 working days of registration</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Respondent response window</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14 days (extendable by 7)</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Mediator appointment after consent</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Within 7 days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First mediation session</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Within 14 days of appointment</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Equator SLA</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Mediation completion</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120 days from first appearance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Mediation Act, 2023</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Extension by consent</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Up to a further 60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Mediation Act, 2023</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Interim maintenance (if sought via court)</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~60 days</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Rajnesh v. Neha guidance</w:t>
            </w:r>
          </w:p>
        </w:tc>
      </w:tr>
      <w:tr>
        <w:trPr>
          <w:trHeight w:val="0"/>
        </w:trPr>
        <w:tc>
          <w:tcPr>
            <w:tcW w:type="dxa" w:w="4372"/>
            <w:tcMar>
              <w:top w:w="60" w:type="dxa"/>
              <w:bottom w:w="60" w:type="dxa"/>
              <w:start w:w="110" w:type="dxa"/>
              <w:end w:w="110" w:type="dxa"/>
            </w:tcMar>
          </w:tcPr>
          <w:p>
            <w:pPr>
              <w:spacing w:after="0"/>
              <w:jc w:val="left"/>
            </w:pPr>
            <w:r>
              <w:rPr>
                <w:rFonts w:ascii="Calibri" w:hAnsi="Calibri"/>
                <w:b w:val="0"/>
                <w:i w:val="0"/>
                <w:color w:val="1B2A32"/>
                <w:sz w:val="18"/>
              </w:rPr>
              <w:t>MSA registration</w:t>
            </w:r>
          </w:p>
        </w:tc>
        <w:tc>
          <w:tcPr>
            <w:tcW w:type="dxa" w:w="2661"/>
            <w:tcMar>
              <w:top w:w="60" w:type="dxa"/>
              <w:bottom w:w="60" w:type="dxa"/>
              <w:start w:w="110" w:type="dxa"/>
              <w:end w:w="110" w:type="dxa"/>
            </w:tcMar>
          </w:tcPr>
          <w:p>
            <w:pPr>
              <w:spacing w:after="0"/>
              <w:jc w:val="left"/>
            </w:pPr>
            <w:r>
              <w:rPr>
                <w:rFonts w:ascii="Calibri" w:hAnsi="Calibri"/>
                <w:b w:val="0"/>
                <w:i w:val="0"/>
                <w:color w:val="1B2A32"/>
                <w:sz w:val="18"/>
              </w:rPr>
              <w:t>Within 180 days of authenticated copy</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Mediation Act, 2023 s.20</w:t>
            </w:r>
          </w:p>
        </w:tc>
      </w:tr>
      <w:tr>
        <w:trPr>
          <w:trHeight w:val="0"/>
        </w:trPr>
        <w:tc>
          <w:tcPr>
            <w:tcW w:type="dxa" w:w="437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Challenge window to MSA</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90 days (+90 for sufficient cause)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Mediation Act, 2023 s.28</w:t>
            </w:r>
          </w:p>
        </w:tc>
      </w:tr>
    </w:tbl>
    <w:p>
      <w:pPr>
        <w:spacing w:after="80"/>
      </w:pPr>
    </w:p>
    <w:p>
      <w:pPr>
        <w:spacing w:before="20" w:after="200"/>
        <w:jc w:val="center"/>
      </w:pPr>
      <w:r>
        <w:rPr>
          <w:rFonts w:ascii="Calibri" w:hAnsi="Calibri"/>
          <w:b w:val="0"/>
          <w:i/>
          <w:color w:val="556168"/>
          <w:sz w:val="17"/>
        </w:rPr>
        <w:t>Table 5 — Statutory limits and Equator's internal service levels.</w:t>
      </w:r>
    </w:p>
    <w:p>
      <w:pPr>
        <w:keepNext/>
        <w:spacing w:before="320" w:after="140"/>
        <w:pBdr>
          <w:bottom w:val="single" w:sz="12" w:space="3" w:color="C6A15B"/>
        </w:pBdr>
      </w:pPr>
      <w:r>
        <w:rPr>
          <w:rFonts w:ascii="Calibri" w:hAnsi="Calibri"/>
          <w:b/>
          <w:i w:val="0"/>
          <w:color w:val="123B4F"/>
          <w:sz w:val="34"/>
        </w:rPr>
        <w:t>18.  Settlement, the MSA &amp; Registration</w:t>
      </w:r>
    </w:p>
    <w:p>
      <w:pPr>
        <w:spacing w:after="140"/>
        <w:jc w:val="both"/>
      </w:pPr>
      <w:r>
        <w:rPr>
          <w:rFonts w:ascii="Calibri" w:hAnsi="Calibri"/>
          <w:b w:val="0"/>
          <w:i w:val="0"/>
          <w:color w:val="1B2A32"/>
          <w:sz w:val="21"/>
        </w:rPr>
        <w:t xml:space="preserve">When the parties agree, the mediator reduces the terms to a </w:t>
      </w:r>
      <w:r>
        <w:rPr>
          <w:rFonts w:ascii="Calibri" w:hAnsi="Calibri"/>
          <w:b/>
          <w:i w:val="0"/>
          <w:color w:val="1B2A32"/>
          <w:sz w:val="21"/>
        </w:rPr>
        <w:t>Mediated Settlement Agreement</w:t>
      </w:r>
      <w:r>
        <w:rPr>
          <w:rFonts w:ascii="Calibri" w:hAnsi="Calibri"/>
          <w:b w:val="0"/>
          <w:i w:val="0"/>
          <w:color w:val="1B2A32"/>
          <w:sz w:val="21"/>
        </w:rPr>
        <w:t xml:space="preserve"> that is comprehensive and court-ready: it records the dissolution route (mutual consent, on stated separation and with any cooling-off waiver sought), the financial terms (alimony or one-time settlement, child maintenance, division of property, return of streedhan, payment of mahr), the parenting plan (custody, visitation, schooling, travel), the treatment of any criminal proceedings (mutual withdrawal/compounding/quashing and non-prosecution covenants), the escrow arrangements, and confidentiality and non-disparagement terms. The parties and the mediator sign; the mediator authenticates; and the MSA is registered so that it is enforceable as a decree. Where the settlement changes legal status — dissolving the marriage, or ordering custody — the agreed terms are carried into the competent court (for example, as the basis of a joint Section 13B petition), which grants the decree.</w:t>
      </w:r>
    </w:p>
    <w:p>
      <w:pPr>
        <w:spacing w:before="80" w:after="40"/>
        <w:jc w:val="center"/>
      </w:pPr>
      <w:r>
        <w:drawing>
          <wp:inline xmlns:a="http://schemas.openxmlformats.org/drawingml/2006/main" xmlns:pic="http://schemas.openxmlformats.org/drawingml/2006/picture">
            <wp:extent cx="4206240" cy="6376789"/>
            <wp:docPr id="9" name="Picture 9"/>
            <wp:cNvGraphicFramePr>
              <a:graphicFrameLocks noChangeAspect="1"/>
            </wp:cNvGraphicFramePr>
            <a:graphic>
              <a:graphicData uri="http://schemas.openxmlformats.org/drawingml/2006/picture">
                <pic:pic>
                  <pic:nvPicPr>
                    <pic:cNvPr id="0" name="05_settlement_escrow.png"/>
                    <pic:cNvPicPr/>
                  </pic:nvPicPr>
                  <pic:blipFill>
                    <a:blip r:embed="rId17"/>
                    <a:stretch>
                      <a:fillRect/>
                    </a:stretch>
                  </pic:blipFill>
                  <pic:spPr>
                    <a:xfrm>
                      <a:off x="0" y="0"/>
                      <a:ext cx="4206240" cy="6376789"/>
                    </a:xfrm>
                    <a:prstGeom prst="rect"/>
                  </pic:spPr>
                </pic:pic>
              </a:graphicData>
            </a:graphic>
          </wp:inline>
        </w:drawing>
      </w:r>
    </w:p>
    <w:p>
      <w:pPr>
        <w:spacing w:before="20" w:after="200"/>
        <w:jc w:val="center"/>
      </w:pPr>
      <w:r>
        <w:rPr>
          <w:rFonts w:ascii="Calibri" w:hAnsi="Calibri"/>
          <w:b w:val="0"/>
          <w:i/>
          <w:color w:val="556168"/>
          <w:sz w:val="17"/>
        </w:rPr>
        <w:t>Figure 8 — From agreed terms to a registered, enforceable settlement, with the money leg secured by escrow.</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The MSA is drafted to be </w:t>
            </w:r>
            <w:r>
              <w:rPr>
                <w:rFonts w:ascii="Calibri" w:hAnsi="Calibri"/>
                <w:b/>
                <w:i w:val="0"/>
                <w:color w:val="1B2A32"/>
                <w:sz w:val="20"/>
              </w:rPr>
              <w:t>self-proving and court-friendly</w:t>
            </w:r>
            <w:r>
              <w:rPr>
                <w:rFonts w:ascii="Calibri" w:hAnsi="Calibri"/>
                <w:b w:val="0"/>
                <w:i w:val="0"/>
                <w:color w:val="1B2A32"/>
                <w:sz w:val="20"/>
              </w:rPr>
              <w:t>: it recites the separation period, the completeness of the settlement (to support a cooling-off waiver), the welfare basis of any custody term, and the parties' free and informed consent — the very matters a court and, on any challenge, the limited s.28 grounds will test.</w:t>
            </w:r>
          </w:p>
        </w:tc>
      </w:tr>
    </w:tbl>
    <w:p>
      <w:pPr>
        <w:spacing w:after="120"/>
      </w:pPr>
    </w:p>
    <w:p>
      <w:pPr>
        <w:keepNext/>
        <w:spacing w:before="320" w:after="140"/>
        <w:pBdr>
          <w:bottom w:val="single" w:sz="12" w:space="3" w:color="C6A15B"/>
        </w:pBdr>
      </w:pPr>
      <w:r>
        <w:rPr>
          <w:rFonts w:ascii="Calibri" w:hAnsi="Calibri"/>
          <w:b/>
          <w:i w:val="0"/>
          <w:color w:val="123B4F"/>
          <w:sz w:val="34"/>
        </w:rPr>
        <w:t>19.  The Escrow Mechanism</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Escrow is a neutral holding account. The paying spouse deposits the settlement money with a regulated bank through Equator; the money is only released to the other spouse when the agreed conditions are met — for example, once the divorce first motion is done, the FIR is withdrawn, or the keys/jewellery are handed over. Neither side has to trust the other's promise.</w:t>
            </w:r>
          </w:p>
        </w:tc>
      </w:tr>
    </w:tbl>
    <w:p>
      <w:pPr>
        <w:spacing w:after="120"/>
      </w:pPr>
    </w:p>
    <w:p>
      <w:pPr>
        <w:spacing w:after="140"/>
        <w:jc w:val="both"/>
      </w:pPr>
      <w:r>
        <w:rPr>
          <w:rFonts w:ascii="Calibri" w:hAnsi="Calibri"/>
          <w:b w:val="0"/>
          <w:i w:val="0"/>
          <w:color w:val="1B2A32"/>
          <w:sz w:val="21"/>
        </w:rPr>
        <w:t xml:space="preserve">The commonest reason a matrimonial settlement collapses is </w:t>
      </w:r>
      <w:r>
        <w:rPr>
          <w:rFonts w:ascii="Calibri" w:hAnsi="Calibri"/>
          <w:b/>
          <w:i w:val="0"/>
          <w:color w:val="1B2A32"/>
          <w:sz w:val="21"/>
        </w:rPr>
        <w:t>trust about money</w:t>
      </w:r>
      <w:r>
        <w:rPr>
          <w:rFonts w:ascii="Calibri" w:hAnsi="Calibri"/>
          <w:b w:val="0"/>
          <w:i w:val="0"/>
          <w:color w:val="1B2A32"/>
          <w:sz w:val="21"/>
        </w:rPr>
        <w:t xml:space="preserve">: the wife fears she will sign away her cases and never see the alimony; the husband fears he will pay and still be prosecuted. Escrow dissolves that stand-off. Equator arranges a </w:t>
      </w:r>
      <w:r>
        <w:rPr>
          <w:rFonts w:ascii="Calibri" w:hAnsi="Calibri"/>
          <w:b/>
          <w:i w:val="0"/>
          <w:color w:val="1B2A32"/>
          <w:sz w:val="21"/>
        </w:rPr>
        <w:t>tripartite escrow</w:t>
      </w:r>
      <w:r>
        <w:rPr>
          <w:rFonts w:ascii="Calibri" w:hAnsi="Calibri"/>
          <w:b w:val="0"/>
          <w:i w:val="0"/>
          <w:color w:val="1B2A32"/>
          <w:sz w:val="21"/>
        </w:rPr>
        <w:t xml:space="preserve"> — payer, payee and a neutral </w:t>
      </w:r>
      <w:r>
        <w:rPr>
          <w:rFonts w:ascii="Calibri" w:hAnsi="Calibri"/>
          <w:b/>
          <w:i w:val="0"/>
          <w:color w:val="1B2A32"/>
          <w:sz w:val="21"/>
        </w:rPr>
        <w:t>escrow agent</w:t>
      </w:r>
      <w:r>
        <w:rPr>
          <w:rFonts w:ascii="Calibri" w:hAnsi="Calibri"/>
          <w:b w:val="0"/>
          <w:i w:val="0"/>
          <w:color w:val="1B2A32"/>
          <w:sz w:val="21"/>
        </w:rPr>
        <w:t xml:space="preserve"> (an RBI-regulated bank or authorised payment entity) — under an escrow agreement grounded in the Indian Contract Act, 1872 (agency and bailment) and compliant with KYC/PMLA norms. The payer deposits the agreed sum (a one-time settlement, arrears, or scheduled instalments); the escrow agent confirms cleared funds to both parties; and release is </w:t>
      </w:r>
      <w:r>
        <w:rPr>
          <w:rFonts w:ascii="Calibri" w:hAnsi="Calibri"/>
          <w:b/>
          <w:i w:val="0"/>
          <w:color w:val="1B2A32"/>
          <w:sz w:val="21"/>
        </w:rPr>
        <w:t>conditional and staged</w:t>
      </w:r>
      <w:r>
        <w:rPr>
          <w:rFonts w:ascii="Calibri" w:hAnsi="Calibri"/>
          <w:b w:val="0"/>
          <w:i w:val="0"/>
          <w:color w:val="1B2A32"/>
          <w:sz w:val="21"/>
        </w:rPr>
        <w:t xml:space="preserve"> against defined milestones written into the MSA — for instance, a first tranche on the divorce first motion, a second on the withdrawal or quashing of the FIR, and a final tranche on the decree or on handover of streedhan and the matrimonial home keys. Every movement is receipted and audit-logged. Where milestones are not met within agreed timeframes, the agreement specifies the fallback (continued holding, refund, or a defined dispute step), so the funds are never stranded without a rule to govern them.</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Escrow rests on the Indian Contract Act, 1872 (agency, ss.182–238; bailment, ss.148–181); the escrow agent must be a bank or RBI-regulated entity; KYC and Prevention of Money Laundering Act (PMLA) compliance apply. Release conditions are contractual and mirror the MSA milestones.</w:t>
            </w:r>
          </w:p>
        </w:tc>
      </w:tr>
    </w:tbl>
    <w:p>
      <w:pPr>
        <w:spacing w:after="12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Escrow release tied to </w:t>
            </w:r>
            <w:r>
              <w:rPr>
                <w:rFonts w:ascii="Calibri" w:hAnsi="Calibri"/>
                <w:b/>
                <w:i w:val="0"/>
                <w:color w:val="1B2A32"/>
                <w:sz w:val="20"/>
              </w:rPr>
              <w:t>criminal-case withdrawal</w:t>
            </w:r>
            <w:r>
              <w:rPr>
                <w:rFonts w:ascii="Calibri" w:hAnsi="Calibri"/>
                <w:b w:val="0"/>
                <w:i w:val="0"/>
                <w:color w:val="1B2A32"/>
                <w:sz w:val="20"/>
              </w:rPr>
              <w:t xml:space="preserve"> must be structured carefully so that it does not look like buying off a prosecution. The MSA frames payments as </w:t>
            </w:r>
            <w:r>
              <w:rPr>
                <w:rFonts w:ascii="Calibri" w:hAnsi="Calibri"/>
                <w:b/>
                <w:i w:val="0"/>
                <w:color w:val="1B2A32"/>
                <w:sz w:val="20"/>
              </w:rPr>
              <w:t>settlement of civil/matrimonial claims</w:t>
            </w:r>
            <w:r>
              <w:rPr>
                <w:rFonts w:ascii="Calibri" w:hAnsi="Calibri"/>
                <w:b w:val="0"/>
                <w:i w:val="0"/>
                <w:color w:val="1B2A32"/>
                <w:sz w:val="20"/>
              </w:rPr>
              <w:t>, with the withdrawal/quashing recorded as a mutual step reflecting genuine reconciliation of the private dispute — consistent with the Gian Singh line of authority — and the actual closure is obtained from the court, not 'purchased'.</w:t>
            </w:r>
          </w:p>
        </w:tc>
      </w:tr>
    </w:tbl>
    <w:p>
      <w:pPr>
        <w:spacing w:after="120"/>
      </w:pPr>
    </w:p>
    <w:p>
      <w:pPr>
        <w:keepNext/>
        <w:spacing w:before="320" w:after="140"/>
        <w:pBdr>
          <w:bottom w:val="single" w:sz="12" w:space="3" w:color="C6A15B"/>
        </w:pBdr>
      </w:pPr>
      <w:r>
        <w:rPr>
          <w:rFonts w:ascii="Calibri" w:hAnsi="Calibri"/>
          <w:b/>
          <w:i w:val="0"/>
          <w:color w:val="123B4F"/>
          <w:sz w:val="34"/>
        </w:rPr>
        <w:t>20.  Criminal Track — FIR Withdrawal, Compounding &amp; Quashing</w:t>
      </w:r>
    </w:p>
    <w:p>
      <w:pPr>
        <w:spacing w:after="140"/>
        <w:jc w:val="both"/>
      </w:pPr>
      <w:r>
        <w:rPr>
          <w:rFonts w:ascii="Calibri" w:hAnsi="Calibri"/>
          <w:b w:val="0"/>
          <w:i w:val="0"/>
          <w:color w:val="1B2A32"/>
          <w:sz w:val="21"/>
        </w:rPr>
        <w:t xml:space="preserve">Because so many marital disputes carry criminal cross-complaints, Equator runs a dedicated </w:t>
      </w:r>
      <w:r>
        <w:rPr>
          <w:rFonts w:ascii="Calibri" w:hAnsi="Calibri"/>
          <w:b/>
          <w:i w:val="0"/>
          <w:color w:val="1B2A32"/>
          <w:sz w:val="21"/>
        </w:rPr>
        <w:t>criminal-closure track</w:t>
      </w:r>
      <w:r>
        <w:rPr>
          <w:rFonts w:ascii="Calibri" w:hAnsi="Calibri"/>
          <w:b w:val="0"/>
          <w:i w:val="0"/>
          <w:color w:val="1B2A32"/>
          <w:sz w:val="21"/>
        </w:rPr>
        <w:t xml:space="preserve"> that plugs into the settlement and the escrow. The track distinguishes three routes and sequences each against payment. </w:t>
      </w:r>
      <w:r>
        <w:rPr>
          <w:rFonts w:ascii="Calibri" w:hAnsi="Calibri"/>
          <w:b/>
          <w:i w:val="0"/>
          <w:color w:val="1B2A32"/>
          <w:sz w:val="21"/>
        </w:rPr>
        <w:t>Compoundable</w:t>
      </w:r>
      <w:r>
        <w:rPr>
          <w:rFonts w:ascii="Calibri" w:hAnsi="Calibri"/>
          <w:b w:val="0"/>
          <w:i w:val="0"/>
          <w:color w:val="1B2A32"/>
          <w:sz w:val="21"/>
        </w:rPr>
        <w:t xml:space="preserve"> offences are compounded before the court under Section 359 BNSS. </w:t>
      </w:r>
      <w:r>
        <w:rPr>
          <w:rFonts w:ascii="Calibri" w:hAnsi="Calibri"/>
          <w:b/>
          <w:i w:val="0"/>
          <w:color w:val="1B2A32"/>
          <w:sz w:val="21"/>
        </w:rPr>
        <w:t>Non-compoundable</w:t>
      </w:r>
      <w:r>
        <w:rPr>
          <w:rFonts w:ascii="Calibri" w:hAnsi="Calibri"/>
          <w:b w:val="0"/>
          <w:i w:val="0"/>
          <w:color w:val="1B2A32"/>
          <w:sz w:val="21"/>
        </w:rPr>
        <w:t xml:space="preserve"> offences of a private, matrimonial character — chiefly the Section 85 BNS / 498A cruelty case — are taken to the </w:t>
      </w:r>
      <w:r>
        <w:rPr>
          <w:rFonts w:ascii="Calibri" w:hAnsi="Calibri"/>
          <w:b/>
          <w:i w:val="0"/>
          <w:color w:val="1B2A32"/>
          <w:sz w:val="21"/>
        </w:rPr>
        <w:t>High Court for quashing</w:t>
      </w:r>
      <w:r>
        <w:rPr>
          <w:rFonts w:ascii="Calibri" w:hAnsi="Calibri"/>
          <w:b w:val="0"/>
          <w:i w:val="0"/>
          <w:color w:val="1B2A32"/>
          <w:sz w:val="21"/>
        </w:rPr>
        <w:t xml:space="preserve"> under Section 528 BNSS on the strength of the genuine settlement, following Gian Singh and B.S. Joshi. </w:t>
      </w:r>
      <w:r>
        <w:rPr>
          <w:rFonts w:ascii="Calibri" w:hAnsi="Calibri"/>
          <w:b/>
          <w:i w:val="0"/>
          <w:color w:val="1B2A32"/>
          <w:sz w:val="21"/>
        </w:rPr>
        <w:t>Heinous or public-interest</w:t>
      </w:r>
      <w:r>
        <w:rPr>
          <w:rFonts w:ascii="Calibri" w:hAnsi="Calibri"/>
          <w:b w:val="0"/>
          <w:i w:val="0"/>
          <w:color w:val="1B2A32"/>
          <w:sz w:val="21"/>
        </w:rPr>
        <w:t xml:space="preserve"> offences (for example, dowry death under Section 80 BNS, or serious bodily harm) are flagged as </w:t>
      </w:r>
      <w:r>
        <w:rPr>
          <w:rFonts w:ascii="Calibri" w:hAnsi="Calibri"/>
          <w:b/>
          <w:i w:val="0"/>
          <w:color w:val="1B2A32"/>
          <w:sz w:val="21"/>
        </w:rPr>
        <w:t>not quashable merely on settlement</w:t>
      </w:r>
      <w:r>
        <w:rPr>
          <w:rFonts w:ascii="Calibri" w:hAnsi="Calibri"/>
          <w:b w:val="0"/>
          <w:i w:val="0"/>
          <w:color w:val="1B2A32"/>
          <w:sz w:val="21"/>
        </w:rPr>
        <w:t>; the platform does not promise closure it cannot lawfully deliver, and steers such matters to the court. In every case, Equator captures the parties' mutual withdrawal and non-prosecution covenants in the MSA, prepares the joint quashing/compounding papers as the settlement instrument requires (Forms Pack, Form F-12), and releases the linked escrow tranche only when the court records the settlement and closes the proceedings.</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The platform maintains a </w:t>
            </w:r>
            <w:r>
              <w:rPr>
                <w:rFonts w:ascii="Calibri" w:hAnsi="Calibri"/>
                <w:b/>
                <w:i w:val="0"/>
                <w:color w:val="1B2A32"/>
                <w:sz w:val="20"/>
              </w:rPr>
              <w:t>quashability classifier</w:t>
            </w:r>
            <w:r>
              <w:rPr>
                <w:rFonts w:ascii="Calibri" w:hAnsi="Calibri"/>
                <w:b w:val="0"/>
                <w:i w:val="0"/>
                <w:color w:val="1B2A32"/>
                <w:sz w:val="20"/>
              </w:rPr>
              <w:t xml:space="preserve"> on each criminal issue — compoundable / quashable-if-private / not-quashable — so that the case manager and mediator set realistic expectations from the first session and never draft a settlement term the law will not honour.</w:t>
            </w:r>
          </w:p>
        </w:tc>
      </w:tr>
    </w:tbl>
    <w:p>
      <w:pPr>
        <w:spacing w:after="120"/>
      </w:pPr>
    </w:p>
    <w:p>
      <w:pPr>
        <w:keepNext/>
        <w:spacing w:before="320" w:after="140"/>
        <w:pBdr>
          <w:bottom w:val="single" w:sz="12" w:space="3" w:color="C6A15B"/>
        </w:pBdr>
      </w:pPr>
      <w:r>
        <w:rPr>
          <w:rFonts w:ascii="Calibri" w:hAnsi="Calibri"/>
          <w:b/>
          <w:i w:val="0"/>
          <w:color w:val="123B4F"/>
          <w:sz w:val="34"/>
        </w:rPr>
        <w:t>21.  Permutations &amp; Scenarios — the If / Then Logic</w:t>
      </w:r>
    </w:p>
    <w:p>
      <w:pPr>
        <w:spacing w:after="140"/>
        <w:jc w:val="both"/>
      </w:pPr>
      <w:r>
        <w:rPr>
          <w:rFonts w:ascii="Calibri" w:hAnsi="Calibri"/>
          <w:b w:val="0"/>
          <w:i w:val="0"/>
          <w:color w:val="1B2A32"/>
          <w:sz w:val="21"/>
        </w:rPr>
        <w:t>Real matrimonial disputes rarely run the straight-line path. The matrix below sets out the principal branches — the 'if / but' circumstances — and how Equator's workflow responds to each. It is the human-readable companion to the workflow-state logic in the Developer Handoff Workbook.</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7"/>
              </w:rPr>
              <w:t>If this circumstance…</w:t>
            </w:r>
          </w:p>
        </w:tc>
        <w:tc>
          <w:tcPr>
            <w:tcW w:type="dxa" w:w="5892"/>
            <w:shd w:val="clear" w:color="auto" w:fill="123B4F"/>
            <w:tcMar>
              <w:top w:w="60" w:type="dxa"/>
              <w:bottom w:w="60" w:type="dxa"/>
              <w:start w:w="110" w:type="dxa"/>
              <w:end w:w="110" w:type="dxa"/>
            </w:tcMar>
          </w:tcPr>
          <w:p>
            <w:pPr>
              <w:spacing w:after="0"/>
            </w:pPr>
            <w:r>
              <w:rPr>
                <w:rFonts w:ascii="Calibri" w:hAnsi="Calibri"/>
                <w:b/>
                <w:i w:val="0"/>
                <w:color w:val="FFFFFF"/>
                <w:sz w:val="17"/>
              </w:rPr>
              <w:t>…then Equator does this</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Respondent ignores or refuses the notice</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Issue Non-commencement Report; advise applicant of court options; keep file open for later opt-in.</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Only some issues settle (partial settlement)</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Record a partial MSA on agreed issues; issue a Non-settlement Report on the rest, preserving court remedies for those.</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Active domestic violence / safety risk</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Invoke safety protocol: separate/shuttle sessions, no joint contact, refer to Protection Officer; reassess suitability; DV disclosures not privileged.</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 criminal FIR is pending between the parties</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Tag the criminal-closure track; classify compoundable / quashable / not-quashable; sequence escrow to the court's closure order.</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Offence is non-compoundable but private (498A/BNS 85)</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Draft mutual-withdrawal covenants; prepare joint s.528 BNSS quashing petition; release escrow on the High Court order.</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Offence is heinous / public (e.g., dowry death)</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Do not promise quashing on settlement; mediate only the civil consequences; direct the criminal matter to court.</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Minor children are involved</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Centre the parenting plan on the child's welfare; consider the child's wishes age-appropriately; never trade custody against money.</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One or both parties are NRIs</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Offer video-first mediation; verify identity remotely; align the MSA with jurisdiction and foreign-decree recognition; plan cross-border service.</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Inter-faith / inter-caste couple facing family threats</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Treat contact data as high-risk; keep sessions strictly between spouses; watch for relatives' coercion; avoid any public exposure.</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Parties can't agree on a mediator</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Equator recommends three; if still no consensus, the Empanelment Committee appoints; conflict check always precedes appointment.</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Cooling-off / separation period not yet met</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Use judicial separation or an interim arrangement now; plan the mutual-consent petition for when the period matures; seek waiver where settled and long-separated.</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 party withdraws mid-mediation</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Respect voluntariness; issue a Non-settlement/withdrawal report; return unearned escrow per the agreement; preserve confidentiality of what was said.</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Settlement money at risk of non-payment</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Route through escrow with staged, condition-linked release; define fallback (hold/refund/dispute step) so funds are never stranded.</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Reconciliation becomes possible</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Support a reconciliation plan instead of dissolution; record agreed terms; close as reconciled.</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A party is transgender, or the couple is same-sex</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Serve with dignity and neutrality; mediate the lawful civil/financial/parenting issues; be candid about current limits on marital status.</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 spouse is missing or untraceable</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needs both parties; issue Non-commencement (F-14) and advise the court route (e.g., desertion / presumption of death).</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A party may lack mental capacity</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Not fit for mediation without a lawful guardian/representative; screen and, if in doubt, refer to court (s.6 concern).</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 party is in custody / imprisoned</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Arrange lawful participation (supervised video with permissions) or via a representative (F-19); verify voluntariness.</w:t>
            </w:r>
          </w:p>
        </w:tc>
      </w:tr>
      <w:tr>
        <w:trPr>
          <w:trHeight w:val="0"/>
        </w:trPr>
        <w:tc>
          <w:tcPr>
            <w:tcW w:type="dxa" w:w="3612"/>
            <w:tcMar>
              <w:top w:w="60" w:type="dxa"/>
              <w:bottom w:w="60" w:type="dxa"/>
              <w:start w:w="110" w:type="dxa"/>
              <w:end w:w="110" w:type="dxa"/>
            </w:tcMar>
          </w:tcPr>
          <w:p>
            <w:pPr>
              <w:spacing w:after="0"/>
              <w:jc w:val="left"/>
            </w:pPr>
            <w:r>
              <w:rPr>
                <w:rFonts w:ascii="Calibri" w:hAnsi="Calibri"/>
                <w:b w:val="0"/>
                <w:i w:val="0"/>
                <w:color w:val="1B2A32"/>
                <w:sz w:val="17"/>
              </w:rPr>
              <w:t>In-laws / elderly parents are affected</w:t>
            </w:r>
          </w:p>
        </w:tc>
        <w:tc>
          <w:tcPr>
            <w:tcW w:type="dxa" w:w="5892"/>
            <w:tcMar>
              <w:top w:w="60" w:type="dxa"/>
              <w:bottom w:w="60" w:type="dxa"/>
              <w:start w:w="110" w:type="dxa"/>
              <w:end w:w="110" w:type="dxa"/>
            </w:tcMar>
          </w:tcPr>
          <w:p>
            <w:pPr>
              <w:spacing w:after="0"/>
              <w:jc w:val="left"/>
            </w:pPr>
            <w:r>
              <w:rPr>
                <w:rFonts w:ascii="Calibri" w:hAnsi="Calibri"/>
                <w:b w:val="0"/>
                <w:i w:val="0"/>
                <w:color w:val="1B2A32"/>
                <w:sz w:val="17"/>
              </w:rPr>
              <w:t>Third-party rights are not bound by the spouses' settlement; they may need separate representation or their own consent.</w:t>
            </w:r>
          </w:p>
        </w:tc>
      </w:tr>
      <w:tr>
        <w:trPr>
          <w:trHeight w:val="0"/>
        </w:trPr>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Succession / inheritance is entangled</w:t>
            </w:r>
          </w:p>
        </w:tc>
        <w:tc>
          <w:tcPr>
            <w:tcW w:type="dxa" w:w="58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Mediate the matrimonial split; flag that third-party heirs' rights cannot be settled here; coordinate with succession law.</w:t>
            </w:r>
          </w:p>
        </w:tc>
      </w:tr>
    </w:tbl>
    <w:p>
      <w:pPr>
        <w:spacing w:after="80"/>
      </w:pPr>
    </w:p>
    <w:p>
      <w:pPr>
        <w:spacing w:before="20" w:after="200"/>
        <w:jc w:val="center"/>
      </w:pPr>
      <w:r>
        <w:rPr>
          <w:rFonts w:ascii="Calibri" w:hAnsi="Calibri"/>
          <w:b w:val="0"/>
          <w:i/>
          <w:color w:val="556168"/>
          <w:sz w:val="17"/>
        </w:rPr>
        <w:t>Table 6 — The principal branch conditions and Equator's programmed response.</w:t>
      </w:r>
    </w:p>
    <w:p>
      <w:pPr>
        <w:keepNext/>
        <w:spacing w:before="320" w:after="140"/>
        <w:pBdr>
          <w:bottom w:val="single" w:sz="12" w:space="3" w:color="C6A15B"/>
        </w:pBdr>
      </w:pPr>
      <w:r>
        <w:rPr>
          <w:rFonts w:ascii="Calibri" w:hAnsi="Calibri"/>
          <w:b/>
          <w:i w:val="0"/>
          <w:color w:val="123B4F"/>
          <w:sz w:val="34"/>
        </w:rPr>
        <w:t>22.  Worked Case Studies</w:t>
      </w:r>
    </w:p>
    <w:p>
      <w:pPr>
        <w:spacing w:after="140"/>
        <w:jc w:val="both"/>
      </w:pPr>
      <w:r>
        <w:rPr>
          <w:rFonts w:ascii="Calibri" w:hAnsi="Calibri"/>
          <w:b w:val="0"/>
          <w:i w:val="0"/>
          <w:color w:val="1B2A32"/>
          <w:sz w:val="21"/>
        </w:rPr>
        <w:t>The four anonymised scenarios below show the workflow, the branch logic and the escrow / criminal tracks operating together. They are illustrative composites, not real cases, and no real persons are depicted.</w:t>
      </w:r>
    </w:p>
    <w:p>
      <w:pPr>
        <w:keepNext/>
        <w:spacing w:before="220" w:after="80"/>
      </w:pPr>
      <w:r>
        <w:rPr>
          <w:rFonts w:ascii="Calibri" w:hAnsi="Calibri"/>
          <w:b/>
          <w:i w:val="0"/>
          <w:color w:val="1E7A8C"/>
          <w:sz w:val="26"/>
        </w:rPr>
        <w:t>22.1   Case 1 — Hindu couple: cruelty FIR + maintenance + custody → global settlement</w:t>
      </w:r>
    </w:p>
    <w:p>
      <w:pPr>
        <w:spacing w:after="140"/>
        <w:jc w:val="both"/>
      </w:pPr>
      <w:r>
        <w:rPr>
          <w:rFonts w:ascii="Calibri" w:hAnsi="Calibri"/>
          <w:b/>
          <w:i w:val="0"/>
          <w:color w:val="1B2A32"/>
          <w:sz w:val="21"/>
        </w:rPr>
        <w:t>Situation.</w:t>
      </w:r>
      <w:r>
        <w:rPr>
          <w:rFonts w:ascii="Calibri" w:hAnsi="Calibri"/>
          <w:b w:val="0"/>
          <w:i w:val="0"/>
          <w:color w:val="1B2A32"/>
          <w:sz w:val="21"/>
        </w:rPr>
        <w:t xml:space="preserve"> A wife had filed a Section 85 BNS (cruelty) FIR and a maintenance application; the husband had filed for divorce. One child, aged seven. Both wanted out but neither trusted the other on money or the criminal case. </w:t>
      </w:r>
      <w:r>
        <w:rPr>
          <w:rFonts w:ascii="Calibri" w:hAnsi="Calibri"/>
          <w:b/>
          <w:i w:val="0"/>
          <w:color w:val="1B2A32"/>
          <w:sz w:val="21"/>
        </w:rPr>
        <w:t>Path through Equator.</w:t>
      </w:r>
      <w:r>
        <w:rPr>
          <w:rFonts w:ascii="Calibri" w:hAnsi="Calibri"/>
          <w:b w:val="0"/>
          <w:i w:val="0"/>
          <w:color w:val="1B2A32"/>
          <w:sz w:val="21"/>
        </w:rPr>
        <w:t xml:space="preserve"> The wife initiated (F-02); the husband responded and consented (F-04). A Hindu-personal-law mediator was matched and conflict-checked. Over four sessions the parties agreed a one-time settlement, a shared parenting plan (F-17), and mutual closure of all cases. </w:t>
      </w:r>
      <w:r>
        <w:rPr>
          <w:rFonts w:ascii="Calibri" w:hAnsi="Calibri"/>
          <w:b/>
          <w:i w:val="0"/>
          <w:color w:val="1B2A32"/>
          <w:sz w:val="21"/>
        </w:rPr>
        <w:t>Money &amp; crime tracks.</w:t>
      </w:r>
      <w:r>
        <w:rPr>
          <w:rFonts w:ascii="Calibri" w:hAnsi="Calibri"/>
          <w:b w:val="0"/>
          <w:i w:val="0"/>
          <w:color w:val="1B2A32"/>
          <w:sz w:val="21"/>
        </w:rPr>
        <w:t xml:space="preserve"> The settlement sum went into escrow (F-11): a first tranche released on the divorce first motion, the balance on the High Court quashing the cruelty FIR under s.528 BNSS (F-12). </w:t>
      </w:r>
      <w:r>
        <w:rPr>
          <w:rFonts w:ascii="Calibri" w:hAnsi="Calibri"/>
          <w:b/>
          <w:i w:val="0"/>
          <w:color w:val="1B2A32"/>
          <w:sz w:val="21"/>
        </w:rPr>
        <w:t>Outcome.</w:t>
      </w:r>
      <w:r>
        <w:rPr>
          <w:rFonts w:ascii="Calibri" w:hAnsi="Calibri"/>
          <w:b w:val="0"/>
          <w:i w:val="0"/>
          <w:color w:val="1B2A32"/>
          <w:sz w:val="21"/>
        </w:rPr>
        <w:t xml:space="preserve"> Mutual-consent divorce with the cooling-off period waived (Amardeep Singh), MSA registered and enforceable as a decree; total elapsed time under four months.</w:t>
      </w:r>
    </w:p>
    <w:p>
      <w:pPr>
        <w:keepNext/>
        <w:spacing w:before="220" w:after="80"/>
      </w:pPr>
      <w:r>
        <w:rPr>
          <w:rFonts w:ascii="Calibri" w:hAnsi="Calibri"/>
          <w:b/>
          <w:i w:val="0"/>
          <w:color w:val="1E7A8C"/>
          <w:sz w:val="26"/>
        </w:rPr>
        <w:t>22.2   Case 2 — Muslim couple: khula, mahr &amp; maintenance</w:t>
      </w:r>
    </w:p>
    <w:p>
      <w:pPr>
        <w:spacing w:after="140"/>
        <w:jc w:val="both"/>
      </w:pPr>
      <w:r>
        <w:rPr>
          <w:rFonts w:ascii="Calibri" w:hAnsi="Calibri"/>
          <w:b/>
          <w:i w:val="0"/>
          <w:color w:val="1B2A32"/>
          <w:sz w:val="21"/>
        </w:rPr>
        <w:t>Situation.</w:t>
      </w:r>
      <w:r>
        <w:rPr>
          <w:rFonts w:ascii="Calibri" w:hAnsi="Calibri"/>
          <w:b w:val="0"/>
          <w:i w:val="0"/>
          <w:color w:val="1B2A32"/>
          <w:sz w:val="21"/>
        </w:rPr>
        <w:t xml:space="preserve"> The wife sought dissolution by khula; disputes over the deferred mahr and maintenance during and beyond iddat. </w:t>
      </w:r>
      <w:r>
        <w:rPr>
          <w:rFonts w:ascii="Calibri" w:hAnsi="Calibri"/>
          <w:b/>
          <w:i w:val="0"/>
          <w:color w:val="1B2A32"/>
          <w:sz w:val="21"/>
        </w:rPr>
        <w:t>Path through Equator.</w:t>
      </w:r>
      <w:r>
        <w:rPr>
          <w:rFonts w:ascii="Calibri" w:hAnsi="Calibri"/>
          <w:b w:val="0"/>
          <w:i w:val="0"/>
          <w:color w:val="1B2A32"/>
          <w:sz w:val="21"/>
        </w:rPr>
        <w:t xml:space="preserve"> A mediator versed in Muslim personal law helped the parties agree the terms of khula, payment of the deferred mahr, and a fair-and-reasonable provision consistent with the governing law. </w:t>
      </w:r>
      <w:r>
        <w:rPr>
          <w:rFonts w:ascii="Calibri" w:hAnsi="Calibri"/>
          <w:b/>
          <w:i w:val="0"/>
          <w:color w:val="1B2A32"/>
          <w:sz w:val="21"/>
        </w:rPr>
        <w:t>Outcome.</w:t>
      </w:r>
      <w:r>
        <w:rPr>
          <w:rFonts w:ascii="Calibri" w:hAnsi="Calibri"/>
          <w:b w:val="0"/>
          <w:i w:val="0"/>
          <w:color w:val="1B2A32"/>
          <w:sz w:val="21"/>
        </w:rPr>
        <w:t xml:space="preserve"> A settlement recording the khula and the financial terms, with the mahr and provision routed through escrow and released on execution; the parties retained the freedom to have the dissolution and maintenance recognised by the competent forum.</w:t>
      </w:r>
    </w:p>
    <w:p>
      <w:pPr>
        <w:keepNext/>
        <w:spacing w:before="220" w:after="80"/>
      </w:pPr>
      <w:r>
        <w:rPr>
          <w:rFonts w:ascii="Calibri" w:hAnsi="Calibri"/>
          <w:b/>
          <w:i w:val="0"/>
          <w:color w:val="1E7A8C"/>
          <w:sz w:val="26"/>
        </w:rPr>
        <w:t>22.3   Case 3 — NRI couple: video-first mediation across time zones</w:t>
      </w:r>
    </w:p>
    <w:p>
      <w:pPr>
        <w:spacing w:after="140"/>
        <w:jc w:val="both"/>
      </w:pPr>
      <w:r>
        <w:rPr>
          <w:rFonts w:ascii="Calibri" w:hAnsi="Calibri"/>
          <w:b/>
          <w:i w:val="0"/>
          <w:color w:val="1B2A32"/>
          <w:sz w:val="21"/>
        </w:rPr>
        <w:t>Situation.</w:t>
      </w:r>
      <w:r>
        <w:rPr>
          <w:rFonts w:ascii="Calibri" w:hAnsi="Calibri"/>
          <w:b w:val="0"/>
          <w:i w:val="0"/>
          <w:color w:val="1B2A32"/>
          <w:sz w:val="21"/>
        </w:rPr>
        <w:t xml:space="preserve"> Husband resident abroad, wife in India; a foreign proceeding loomed and service was contentious. </w:t>
      </w:r>
      <w:r>
        <w:rPr>
          <w:rFonts w:ascii="Calibri" w:hAnsi="Calibri"/>
          <w:b/>
          <w:i w:val="0"/>
          <w:color w:val="1B2A32"/>
          <w:sz w:val="21"/>
        </w:rPr>
        <w:t>Path through Equator.</w:t>
      </w:r>
      <w:r>
        <w:rPr>
          <w:rFonts w:ascii="Calibri" w:hAnsi="Calibri"/>
          <w:b w:val="0"/>
          <w:i w:val="0"/>
          <w:color w:val="1B2A32"/>
          <w:sz w:val="21"/>
        </w:rPr>
        <w:t xml:space="preserve"> Identity was verified remotely; sessions ran by video at a mutually workable hour. The mediator kept the settlement aligned with Indian recognition requirements for any foreign decree (Y. Narasimha Rao) and with the Indian court steps needed. </w:t>
      </w:r>
      <w:r>
        <w:rPr>
          <w:rFonts w:ascii="Calibri" w:hAnsi="Calibri"/>
          <w:b/>
          <w:i w:val="0"/>
          <w:color w:val="1B2A32"/>
          <w:sz w:val="21"/>
        </w:rPr>
        <w:t>Outcome.</w:t>
      </w:r>
      <w:r>
        <w:rPr>
          <w:rFonts w:ascii="Calibri" w:hAnsi="Calibri"/>
          <w:b w:val="0"/>
          <w:i w:val="0"/>
          <w:color w:val="1B2A32"/>
          <w:sz w:val="21"/>
        </w:rPr>
        <w:t xml:space="preserve"> A settlement the parties could execute in both jurisdictions, avoiding parallel litigation and cross-border service delays.</w:t>
      </w:r>
    </w:p>
    <w:p>
      <w:pPr>
        <w:keepNext/>
        <w:spacing w:before="220" w:after="80"/>
      </w:pPr>
      <w:r>
        <w:rPr>
          <w:rFonts w:ascii="Calibri" w:hAnsi="Calibri"/>
          <w:b/>
          <w:i w:val="0"/>
          <w:color w:val="1E7A8C"/>
          <w:sz w:val="26"/>
        </w:rPr>
        <w:t>22.4   Case 4 — Domestic-violence flag: safety-first, partial settlement</w:t>
      </w:r>
    </w:p>
    <w:p>
      <w:pPr>
        <w:spacing w:after="140"/>
        <w:jc w:val="both"/>
      </w:pPr>
      <w:r>
        <w:rPr>
          <w:rFonts w:ascii="Calibri" w:hAnsi="Calibri"/>
          <w:b/>
          <w:i w:val="0"/>
          <w:color w:val="1B2A32"/>
          <w:sz w:val="21"/>
        </w:rPr>
        <w:t>Situation.</w:t>
      </w:r>
      <w:r>
        <w:rPr>
          <w:rFonts w:ascii="Calibri" w:hAnsi="Calibri"/>
          <w:b w:val="0"/>
          <w:i w:val="0"/>
          <w:color w:val="1B2A32"/>
          <w:sz w:val="21"/>
        </w:rPr>
        <w:t xml:space="preserve"> The wife disclosed ongoing intimidation. </w:t>
      </w:r>
      <w:r>
        <w:rPr>
          <w:rFonts w:ascii="Calibri" w:hAnsi="Calibri"/>
          <w:b/>
          <w:i w:val="0"/>
          <w:color w:val="1B2A32"/>
          <w:sz w:val="21"/>
        </w:rPr>
        <w:t>Path through Equator.</w:t>
      </w:r>
      <w:r>
        <w:rPr>
          <w:rFonts w:ascii="Calibri" w:hAnsi="Calibri"/>
          <w:b w:val="0"/>
          <w:i w:val="0"/>
          <w:color w:val="1B2A32"/>
          <w:sz w:val="21"/>
        </w:rPr>
        <w:t xml:space="preserve"> The suitability triage raised the safety flag; the case manager invoked the safety protocol — no joint sessions, shuttle mediation only, and a referral to a Protection Officer — and recorded that domestic-violence disclosures are not privileged. Financial and residence terms were mediated; the protection question was left to the court. </w:t>
      </w:r>
      <w:r>
        <w:rPr>
          <w:rFonts w:ascii="Calibri" w:hAnsi="Calibri"/>
          <w:b/>
          <w:i w:val="0"/>
          <w:color w:val="1B2A32"/>
          <w:sz w:val="21"/>
        </w:rPr>
        <w:t>Outcome.</w:t>
      </w:r>
      <w:r>
        <w:rPr>
          <w:rFonts w:ascii="Calibri" w:hAnsi="Calibri"/>
          <w:b w:val="0"/>
          <w:i w:val="0"/>
          <w:color w:val="1B2A32"/>
          <w:sz w:val="21"/>
        </w:rPr>
        <w:t xml:space="preserve"> A </w:t>
      </w:r>
      <w:r>
        <w:rPr>
          <w:rFonts w:ascii="Calibri" w:hAnsi="Calibri"/>
          <w:b/>
          <w:i w:val="0"/>
          <w:color w:val="1B2A32"/>
          <w:sz w:val="21"/>
        </w:rPr>
        <w:t>partial</w:t>
      </w:r>
      <w:r>
        <w:rPr>
          <w:rFonts w:ascii="Calibri" w:hAnsi="Calibri"/>
          <w:b w:val="0"/>
          <w:i w:val="0"/>
          <w:color w:val="1B2A32"/>
          <w:sz w:val="21"/>
        </w:rPr>
        <w:t xml:space="preserve"> settlement (F-15) on money and residence, with the protection and any criminal matters preserved for the appropriate forum. Safety was never traded for throughput.</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Case 4 is the template for any matter with a live safety concern: mediate only what is safe and appropriate, protect the vulnerable party, and route protection and serious criminal matters to the court.</w:t>
            </w:r>
          </w:p>
        </w:tc>
      </w:tr>
    </w:tbl>
    <w:p>
      <w:pPr>
        <w:spacing w:after="120"/>
      </w:pPr>
    </w:p>
    <w:p>
      <w:r>
        <w:br w:type="page"/>
      </w:r>
    </w:p>
    <w:p>
      <w:pPr>
        <w:spacing w:before="600" w:after="40"/>
      </w:pPr>
      <w:r>
        <w:rPr>
          <w:rFonts w:ascii="Calibri" w:hAnsi="Calibri"/>
          <w:b/>
          <w:i w:val="0"/>
          <w:color w:val="C6A15B"/>
          <w:sz w:val="26"/>
        </w:rPr>
        <w:t>PART D</w:t>
      </w:r>
    </w:p>
    <w:p>
      <w:pPr>
        <w:spacing w:after="200"/>
        <w:pBdr>
          <w:bottom w:val="single" w:sz="18" w:space="3" w:color="1E7A8C"/>
        </w:pBdr>
      </w:pPr>
      <w:r>
        <w:rPr>
          <w:rFonts w:ascii="Calibri" w:hAnsi="Calibri"/>
          <w:b/>
          <w:i w:val="0"/>
          <w:color w:val="123B4F"/>
          <w:sz w:val="46"/>
        </w:rPr>
        <w:t>Governance, Commercials &amp; Operations</w:t>
      </w:r>
    </w:p>
    <w:p>
      <w:pPr>
        <w:keepNext/>
        <w:spacing w:before="320" w:after="140"/>
        <w:pBdr>
          <w:bottom w:val="single" w:sz="12" w:space="3" w:color="C6A15B"/>
        </w:pBdr>
      </w:pPr>
      <w:r>
        <w:rPr>
          <w:rFonts w:ascii="Calibri" w:hAnsi="Calibri"/>
          <w:b/>
          <w:i w:val="0"/>
          <w:color w:val="123B4F"/>
          <w:sz w:val="34"/>
        </w:rPr>
        <w:t>23.  Forms Register</w:t>
      </w:r>
    </w:p>
    <w:p>
      <w:pPr>
        <w:spacing w:after="140"/>
        <w:jc w:val="both"/>
      </w:pPr>
      <w:r>
        <w:rPr>
          <w:rFonts w:ascii="Calibri" w:hAnsi="Calibri"/>
          <w:b w:val="0"/>
          <w:i w:val="0"/>
          <w:color w:val="1B2A32"/>
          <w:sz w:val="21"/>
        </w:rPr>
        <w:t xml:space="preserve">All 29 forms are reproduced in full in </w:t>
      </w:r>
      <w:r>
        <w:rPr>
          <w:rFonts w:ascii="Calibri" w:hAnsi="Calibri"/>
          <w:b/>
          <w:i w:val="0"/>
          <w:color w:val="1B2A32"/>
          <w:sz w:val="21"/>
        </w:rPr>
        <w:t>Part H</w:t>
      </w:r>
      <w:r>
        <w:rPr>
          <w:rFonts w:ascii="Calibri" w:hAnsi="Calibri"/>
          <w:b w:val="0"/>
          <w:i w:val="0"/>
          <w:color w:val="1B2A32"/>
          <w:sz w:val="21"/>
        </w:rPr>
        <w:t xml:space="preserve"> of this Blueprint, and are also delivered as individual documents in the archived Forms Pack folder. The register below is the authoritative index; the Developer Handoff Workbook carries the field-level schema for each.</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6"/>
              </w:rPr>
              <w:t>Ref</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6"/>
              </w:rPr>
              <w:t>Form</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6"/>
              </w:rPr>
              <w:t>Used at</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6"/>
              </w:rPr>
              <w:t>Signed by</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F-01</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Onboarding &amp; KYC / DPDP Consent</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Registration</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Party</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F-02</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Request for Mediation (Family)</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Initiation</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Applicant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F-03</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Notice of Mediation to Respondent</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Notice</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Equator</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F-04</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File a Response (Family)</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Response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Respondent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F-05</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Mediator Preference &amp; Selection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Selection</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Both parties</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F-06</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Mediator Conflict &amp; Disclosure Declaration</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Appointment</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Mediator</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F-07</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Affidavit of Assets &amp; Liabilities (Rajnesh v. Neha)</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Maintenance</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Party (sworn)</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F-08</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Interim Arrangements Record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Pre-mediation</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Both + Mediator</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F-09</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Agreement to Mediate &amp; Confidentiality</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Pre-mediation</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Both parties</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F-10</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Mediated Settlement Agreement (MSA)</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Settlement</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Both + Mediator</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F-11</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Escrow Instruction &amp; Release Schedule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Settlement</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Both + Escrow Officer</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F-12</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Joint Memo — FIR Withdrawal / Quashing / Compounding</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Criminal closure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Both parties</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F-13</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Application for Time Extension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Sessions</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Both parties</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F-14</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Non-commencement Report</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Response fails</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Equator/Mediator</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F-15</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Case Closure / Non-settlement Report</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Closure</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Mediator</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F-16</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Mediator Evaluation &amp; Feedback</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Post-case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Party</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F-17</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Parenting Plan Schedule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Custody</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Both parties</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F-18</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Withdrawal from Mediation</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Any time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Withdrawing party</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F-19</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Authorisation / Vakalatnama for Representative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On engaging counsel</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Party + Representative</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F-20</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Consent to Recording of Online Session</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Virtual sessions</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Both + Mediator</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F-21</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Voice of the Child Note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Custody matters</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Mediator / specialist</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F-22</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Grievance / Complaint Form</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Any time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Complainant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F-23</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Mediator Fee Receipt / Invoice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Billing</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Equator</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F-24</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Statement of Claim (AI-assisted)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Filing</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Claimant</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F-25</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Statement of Defence (AI-assisted)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Response</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Respondent</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F-26</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Intake Screening &amp; Suitability (MIAM/MASIC)</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Intake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Assessor</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F-27</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Independent Legal Advice (ILA) Certificate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Pre-signing</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Party + Advocate</w:t>
            </w:r>
          </w:p>
        </w:tc>
      </w:tr>
      <w:tr>
        <w:trPr>
          <w:trHeight w:val="0"/>
        </w:trPr>
        <w:tc>
          <w:tcPr>
            <w:tcW w:type="dxa" w:w="950"/>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F-28</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Referral / Partial-Settlement Court Handoff Memo</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Closure</w:t>
            </w:r>
          </w:p>
        </w:tc>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Mediator</w:t>
            </w:r>
          </w:p>
        </w:tc>
      </w:tr>
      <w:tr>
        <w:trPr>
          <w:trHeight w:val="0"/>
        </w:trPr>
        <w:tc>
          <w:tcPr>
            <w:tcW w:type="dxa" w:w="950"/>
            <w:tcMar>
              <w:top w:w="60" w:type="dxa"/>
              <w:bottom w:w="60" w:type="dxa"/>
              <w:start w:w="110" w:type="dxa"/>
              <w:end w:w="110" w:type="dxa"/>
            </w:tcMar>
          </w:tcPr>
          <w:p>
            <w:pPr>
              <w:spacing w:after="0"/>
              <w:jc w:val="left"/>
            </w:pPr>
            <w:r>
              <w:rPr>
                <w:rFonts w:ascii="Calibri" w:hAnsi="Calibri"/>
                <w:b w:val="0"/>
                <w:i w:val="0"/>
                <w:color w:val="1B2A32"/>
                <w:sz w:val="16"/>
              </w:rPr>
              <w:t>F-29</w:t>
            </w:r>
          </w:p>
        </w:tc>
        <w:tc>
          <w:tcPr>
            <w:tcW w:type="dxa" w:w="4182"/>
            <w:tcMar>
              <w:top w:w="60" w:type="dxa"/>
              <w:bottom w:w="60" w:type="dxa"/>
              <w:start w:w="110" w:type="dxa"/>
              <w:end w:w="110" w:type="dxa"/>
            </w:tcMar>
          </w:tcPr>
          <w:p>
            <w:pPr>
              <w:spacing w:after="0"/>
              <w:jc w:val="left"/>
            </w:pPr>
            <w:r>
              <w:rPr>
                <w:rFonts w:ascii="Calibri" w:hAnsi="Calibri"/>
                <w:b w:val="0"/>
                <w:i w:val="0"/>
                <w:color w:val="1B2A32"/>
                <w:sz w:val="16"/>
              </w:rPr>
              <w:t>Child-Inclusive &amp; Parenting Coordination Consent</w:t>
            </w:r>
          </w:p>
        </w:tc>
        <w:tc>
          <w:tcPr>
            <w:tcW w:type="dxa" w:w="2471"/>
            <w:tcMar>
              <w:top w:w="60" w:type="dxa"/>
              <w:bottom w:w="60" w:type="dxa"/>
              <w:start w:w="110" w:type="dxa"/>
              <w:end w:w="110" w:type="dxa"/>
            </w:tcMar>
          </w:tcPr>
          <w:p>
            <w:pPr>
              <w:spacing w:after="0"/>
              <w:jc w:val="left"/>
            </w:pPr>
            <w:r>
              <w:rPr>
                <w:rFonts w:ascii="Calibri" w:hAnsi="Calibri"/>
                <w:b w:val="0"/>
                <w:i w:val="0"/>
                <w:color w:val="1B2A32"/>
                <w:sz w:val="16"/>
              </w:rPr>
              <w:t>Custody</w:t>
            </w:r>
          </w:p>
        </w:tc>
        <w:tc>
          <w:tcPr>
            <w:tcW w:type="dxa" w:w="1901"/>
            <w:tcMar>
              <w:top w:w="60" w:type="dxa"/>
              <w:bottom w:w="60" w:type="dxa"/>
              <w:start w:w="110" w:type="dxa"/>
              <w:end w:w="110" w:type="dxa"/>
            </w:tcMar>
          </w:tcPr>
          <w:p>
            <w:pPr>
              <w:spacing w:after="0"/>
              <w:jc w:val="left"/>
            </w:pPr>
            <w:r>
              <w:rPr>
                <w:rFonts w:ascii="Calibri" w:hAnsi="Calibri"/>
                <w:b w:val="0"/>
                <w:i w:val="0"/>
                <w:color w:val="1B2A32"/>
                <w:sz w:val="16"/>
              </w:rPr>
              <w:t>Both parents</w:t>
            </w:r>
          </w:p>
        </w:tc>
      </w:tr>
    </w:tbl>
    <w:p>
      <w:pPr>
        <w:spacing w:after="80"/>
      </w:pPr>
    </w:p>
    <w:p>
      <w:pPr>
        <w:spacing w:before="20" w:after="200"/>
        <w:jc w:val="center"/>
      </w:pPr>
      <w:r>
        <w:rPr>
          <w:rFonts w:ascii="Calibri" w:hAnsi="Calibri"/>
          <w:b w:val="0"/>
          <w:i/>
          <w:color w:val="556168"/>
          <w:sz w:val="17"/>
        </w:rPr>
        <w:t>Table 7 — Forms register (full text in Part H; schema in the Developer Handoff Workbook).</w:t>
      </w:r>
    </w:p>
    <w:p>
      <w:pPr>
        <w:keepNext/>
        <w:spacing w:before="320" w:after="140"/>
        <w:pBdr>
          <w:bottom w:val="single" w:sz="12" w:space="3" w:color="C6A15B"/>
        </w:pBdr>
      </w:pPr>
      <w:r>
        <w:rPr>
          <w:rFonts w:ascii="Calibri" w:hAnsi="Calibri"/>
          <w:b/>
          <w:i w:val="0"/>
          <w:color w:val="123B4F"/>
          <w:sz w:val="34"/>
        </w:rPr>
        <w:t>24.  Fees &amp; Commercials</w:t>
      </w:r>
    </w:p>
    <w:p>
      <w:pPr>
        <w:spacing w:after="140"/>
        <w:jc w:val="both"/>
      </w:pPr>
      <w:r>
        <w:rPr>
          <w:rFonts w:ascii="Calibri" w:hAnsi="Calibri"/>
          <w:b w:val="0"/>
          <w:i w:val="0"/>
          <w:color w:val="1B2A32"/>
          <w:sz w:val="21"/>
        </w:rPr>
        <w:t>The Family vertical inherits Equator's institutional fee architecture — a one-time registration fee, a per-session case-management fee, and a mediator fee that varies by the neutral's grade — with an escrow-handling fee where a money leg is secured. Indicative figures below are drawn from Equator's existing schedule and should be confirmed against the current published tariff. Fee waivers or subsidies for indigent parties (aligned with legal-aid principles) are recommended, given the social character of family disputes.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8"/>
              </w:rPr>
              <w:t>Component</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8"/>
              </w:rPr>
              <w:t>Basis</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8"/>
              </w:rPr>
              <w:t>Indicative amount</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8"/>
              </w:rPr>
              <w:t>Registration fee</w:t>
            </w:r>
          </w:p>
        </w:tc>
        <w:tc>
          <w:tcPr>
            <w:tcW w:type="dxa" w:w="3992"/>
            <w:tcMar>
              <w:top w:w="60" w:type="dxa"/>
              <w:bottom w:w="60" w:type="dxa"/>
              <w:start w:w="110" w:type="dxa"/>
              <w:end w:w="110" w:type="dxa"/>
            </w:tcMar>
          </w:tcPr>
          <w:p>
            <w:pPr>
              <w:spacing w:after="0"/>
              <w:jc w:val="left"/>
            </w:pPr>
            <w:r>
              <w:rPr>
                <w:rFonts w:ascii="Calibri" w:hAnsi="Calibri"/>
                <w:b w:val="0"/>
                <w:i w:val="0"/>
                <w:color w:val="1B2A32"/>
                <w:sz w:val="18"/>
              </w:rPr>
              <w:t>One-time; includes pre-mediation call &amp; filing</w:t>
            </w:r>
          </w:p>
        </w:tc>
        <w:tc>
          <w:tcPr>
            <w:tcW w:type="dxa" w:w="1711"/>
            <w:tcMar>
              <w:top w:w="60" w:type="dxa"/>
              <w:bottom w:w="60" w:type="dxa"/>
              <w:start w:w="110" w:type="dxa"/>
              <w:end w:w="110" w:type="dxa"/>
            </w:tcMar>
          </w:tcPr>
          <w:p>
            <w:pPr>
              <w:spacing w:after="0"/>
              <w:jc w:val="left"/>
            </w:pPr>
            <w:r>
              <w:rPr>
                <w:rFonts w:ascii="Calibri" w:hAnsi="Calibri"/>
                <w:b w:val="0"/>
                <w:i w:val="0"/>
                <w:color w:val="1B2A32"/>
                <w:sz w:val="18"/>
              </w:rPr>
              <w:t>₹1,000</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Case-management fee</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Per session, per party</w:t>
            </w:r>
          </w:p>
        </w:tc>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₹1,000</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8"/>
              </w:rPr>
              <w:t>Mediator fee — Grade A</w:t>
            </w:r>
          </w:p>
        </w:tc>
        <w:tc>
          <w:tcPr>
            <w:tcW w:type="dxa" w:w="3992"/>
            <w:tcMar>
              <w:top w:w="60" w:type="dxa"/>
              <w:bottom w:w="60" w:type="dxa"/>
              <w:start w:w="110" w:type="dxa"/>
              <w:end w:w="110" w:type="dxa"/>
            </w:tcMar>
          </w:tcPr>
          <w:p>
            <w:pPr>
              <w:spacing w:after="0"/>
              <w:jc w:val="left"/>
            </w:pPr>
            <w:r>
              <w:rPr>
                <w:rFonts w:ascii="Calibri" w:hAnsi="Calibri"/>
                <w:b w:val="0"/>
                <w:i w:val="0"/>
                <w:color w:val="1B2A32"/>
                <w:sz w:val="18"/>
              </w:rPr>
              <w:t>Per session, per party (minimum)</w:t>
            </w:r>
          </w:p>
        </w:tc>
        <w:tc>
          <w:tcPr>
            <w:tcW w:type="dxa" w:w="1711"/>
            <w:tcMar>
              <w:top w:w="60" w:type="dxa"/>
              <w:bottom w:w="60" w:type="dxa"/>
              <w:start w:w="110" w:type="dxa"/>
              <w:end w:w="110" w:type="dxa"/>
            </w:tcMar>
          </w:tcPr>
          <w:p>
            <w:pPr>
              <w:spacing w:after="0"/>
              <w:jc w:val="left"/>
            </w:pPr>
            <w:r>
              <w:rPr>
                <w:rFonts w:ascii="Calibri" w:hAnsi="Calibri"/>
                <w:b w:val="0"/>
                <w:i w:val="0"/>
                <w:color w:val="1B2A32"/>
                <w:sz w:val="18"/>
              </w:rPr>
              <w:t>₹8,000</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Mediator fee — Grade B</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Per session, per party</w:t>
            </w:r>
          </w:p>
        </w:tc>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₹4,000</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8"/>
              </w:rPr>
              <w:t>Mediator fee — Grade C</w:t>
            </w:r>
          </w:p>
        </w:tc>
        <w:tc>
          <w:tcPr>
            <w:tcW w:type="dxa" w:w="3992"/>
            <w:tcMar>
              <w:top w:w="60" w:type="dxa"/>
              <w:bottom w:w="60" w:type="dxa"/>
              <w:start w:w="110" w:type="dxa"/>
              <w:end w:w="110" w:type="dxa"/>
            </w:tcMar>
          </w:tcPr>
          <w:p>
            <w:pPr>
              <w:spacing w:after="0"/>
              <w:jc w:val="left"/>
            </w:pPr>
            <w:r>
              <w:rPr>
                <w:rFonts w:ascii="Calibri" w:hAnsi="Calibri"/>
                <w:b w:val="0"/>
                <w:i w:val="0"/>
                <w:color w:val="1B2A32"/>
                <w:sz w:val="18"/>
              </w:rPr>
              <w:t>Per session, per party</w:t>
            </w:r>
          </w:p>
        </w:tc>
        <w:tc>
          <w:tcPr>
            <w:tcW w:type="dxa" w:w="1711"/>
            <w:tcMar>
              <w:top w:w="60" w:type="dxa"/>
              <w:bottom w:w="60" w:type="dxa"/>
              <w:start w:w="110" w:type="dxa"/>
              <w:end w:w="110" w:type="dxa"/>
            </w:tcMar>
          </w:tcPr>
          <w:p>
            <w:pPr>
              <w:spacing w:after="0"/>
              <w:jc w:val="left"/>
            </w:pPr>
            <w:r>
              <w:rPr>
                <w:rFonts w:ascii="Calibri" w:hAnsi="Calibri"/>
                <w:b w:val="0"/>
                <w:i w:val="0"/>
                <w:color w:val="1B2A32"/>
                <w:sz w:val="18"/>
              </w:rPr>
              <w:t>₹2,000</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Escrow handling</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of amount held / flat, per bank tariff</w:t>
            </w:r>
          </w:p>
        </w:tc>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As per actual</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8"/>
              </w:rPr>
              <w:t>Government fee &amp; stamp duty</w:t>
            </w:r>
          </w:p>
        </w:tc>
        <w:tc>
          <w:tcPr>
            <w:tcW w:type="dxa" w:w="3992"/>
            <w:tcMar>
              <w:top w:w="60" w:type="dxa"/>
              <w:bottom w:w="60" w:type="dxa"/>
              <w:start w:w="110" w:type="dxa"/>
              <w:end w:w="110" w:type="dxa"/>
            </w:tcMar>
          </w:tcPr>
          <w:p>
            <w:pPr>
              <w:spacing w:after="0"/>
              <w:jc w:val="left"/>
            </w:pPr>
            <w:r>
              <w:rPr>
                <w:rFonts w:ascii="Calibri" w:hAnsi="Calibri"/>
                <w:b w:val="0"/>
                <w:i w:val="0"/>
                <w:color w:val="1B2A32"/>
                <w:sz w:val="18"/>
              </w:rPr>
              <w:t>Split equally between parties</w:t>
            </w:r>
          </w:p>
        </w:tc>
        <w:tc>
          <w:tcPr>
            <w:tcW w:type="dxa" w:w="1711"/>
            <w:tcMar>
              <w:top w:w="60" w:type="dxa"/>
              <w:bottom w:w="60" w:type="dxa"/>
              <w:start w:w="110" w:type="dxa"/>
              <w:end w:w="110" w:type="dxa"/>
            </w:tcMar>
          </w:tcPr>
          <w:p>
            <w:pPr>
              <w:spacing w:after="0"/>
              <w:jc w:val="left"/>
            </w:pPr>
            <w:r>
              <w:rPr>
                <w:rFonts w:ascii="Calibri" w:hAnsi="Calibri"/>
                <w:b w:val="0"/>
                <w:i w:val="0"/>
                <w:color w:val="1B2A32"/>
                <w:sz w:val="18"/>
              </w:rPr>
              <w:t>As per actual</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Optional services (conference room, outstation)</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As availed</w:t>
            </w:r>
          </w:p>
        </w:tc>
        <w:tc>
          <w:tcPr>
            <w:tcW w:type="dxa" w:w="171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As per schedule</w:t>
            </w:r>
          </w:p>
        </w:tc>
      </w:tr>
    </w:tbl>
    <w:p>
      <w:pPr>
        <w:spacing w:after="80"/>
      </w:pPr>
    </w:p>
    <w:p>
      <w:pPr>
        <w:spacing w:before="20" w:after="200"/>
        <w:jc w:val="center"/>
      </w:pPr>
      <w:r>
        <w:rPr>
          <w:rFonts w:ascii="Calibri" w:hAnsi="Calibri"/>
          <w:b w:val="0"/>
          <w:i/>
          <w:color w:val="556168"/>
          <w:sz w:val="17"/>
        </w:rPr>
        <w:t>Table 8 — Indicative fee schedule (confirm against Equator's current published tariff).</w:t>
      </w:r>
    </w:p>
    <w:p>
      <w:pPr>
        <w:keepNext/>
        <w:spacing w:before="220" w:after="80"/>
      </w:pPr>
      <w:r>
        <w:rPr>
          <w:rFonts w:ascii="Calibri" w:hAnsi="Calibri"/>
          <w:b/>
          <w:i w:val="0"/>
          <w:color w:val="1E7A8C"/>
          <w:sz w:val="26"/>
        </w:rPr>
        <w:t>24.1   Worked fee example</w:t>
      </w:r>
    </w:p>
    <w:p>
      <w:pPr>
        <w:spacing w:after="140"/>
        <w:jc w:val="both"/>
      </w:pPr>
      <w:r>
        <w:rPr>
          <w:rFonts w:ascii="Calibri" w:hAnsi="Calibri"/>
          <w:b w:val="0"/>
          <w:i w:val="0"/>
          <w:color w:val="1B2A32"/>
          <w:sz w:val="21"/>
        </w:rPr>
        <w:t xml:space="preserve">A typical mutual-consent matter settled in four sessions with a Grade B mediator, per party: registration ₹1,000 (one-time) + case-management ₹1,000 × 4 sessions (₹4,000) + mediator ₹4,000 × 4 sessions (₹16,000) = </w:t>
      </w:r>
      <w:r>
        <w:rPr>
          <w:rFonts w:ascii="Calibri" w:hAnsi="Calibri"/>
          <w:b/>
          <w:i w:val="0"/>
          <w:color w:val="1B2A32"/>
          <w:sz w:val="21"/>
        </w:rPr>
        <w:t>≈ ₹21,000 per party</w:t>
      </w:r>
      <w:r>
        <w:rPr>
          <w:rFonts w:ascii="Calibri" w:hAnsi="Calibri"/>
          <w:b w:val="0"/>
          <w:i w:val="0"/>
          <w:color w:val="1B2A32"/>
          <w:sz w:val="21"/>
        </w:rPr>
        <w:t>, plus any escrow-handling fee and government stamp duty as actual. Set against a contested matrimonial matter that can run years across multiple forums at many times this cost, the value proposition is stark — and is the core of the message in Section 2.</w:t>
      </w:r>
    </w:p>
    <w:p>
      <w:pPr>
        <w:keepNext/>
        <w:spacing w:before="220" w:after="80"/>
      </w:pPr>
      <w:r>
        <w:rPr>
          <w:rFonts w:ascii="Calibri" w:hAnsi="Calibri"/>
          <w:b/>
          <w:i w:val="0"/>
          <w:color w:val="1E7A8C"/>
          <w:sz w:val="26"/>
        </w:rPr>
        <w:t>24.2   Fee waivers &amp; pro-bono policy</w:t>
      </w:r>
    </w:p>
    <w:p>
      <w:pPr>
        <w:spacing w:after="140"/>
        <w:jc w:val="both"/>
      </w:pPr>
      <w:r>
        <w:rPr>
          <w:rFonts w:ascii="Calibri" w:hAnsi="Calibri"/>
          <w:b w:val="0"/>
          <w:i w:val="0"/>
          <w:color w:val="1B2A32"/>
          <w:sz w:val="21"/>
        </w:rPr>
        <w:t xml:space="preserve">Given the social character of family disputes, Equator should operate a </w:t>
      </w:r>
      <w:r>
        <w:rPr>
          <w:rFonts w:ascii="Calibri" w:hAnsi="Calibri"/>
          <w:b/>
          <w:i w:val="0"/>
          <w:color w:val="1B2A32"/>
          <w:sz w:val="21"/>
        </w:rPr>
        <w:t>fee-waiver and pro-bono</w:t>
      </w:r>
      <w:r>
        <w:rPr>
          <w:rFonts w:ascii="Calibri" w:hAnsi="Calibri"/>
          <w:b w:val="0"/>
          <w:i w:val="0"/>
          <w:color w:val="1B2A32"/>
          <w:sz w:val="21"/>
        </w:rPr>
        <w:t xml:space="preserve"> track for indigent parties, aligned with legal-aid principles: means-tested waiver or reduction of the registration and case-management fees, a pro-bono panel commitment (a minimum share of each mediator's cases), and coordination with District Legal Services Authorities for referrals. No party should be denied a dignified route to settlement for inability to pay.</w:t>
      </w:r>
    </w:p>
    <w:p>
      <w:pPr>
        <w:keepNext/>
        <w:spacing w:before="320" w:after="140"/>
        <w:pBdr>
          <w:bottom w:val="single" w:sz="12" w:space="3" w:color="C6A15B"/>
        </w:pBdr>
      </w:pPr>
      <w:r>
        <w:rPr>
          <w:rFonts w:ascii="Calibri" w:hAnsi="Calibri"/>
          <w:b/>
          <w:i w:val="0"/>
          <w:color w:val="123B4F"/>
          <w:sz w:val="34"/>
        </w:rPr>
        <w:t>25.  Risk, Ethics &amp; Compliance Register</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Risk</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Impact</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7"/>
              </w:rPr>
              <w:t>Mitigation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Mediating an unsafe DV matter</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Harm to a party; reputational &amp; legal exposure</w:t>
            </w:r>
          </w:p>
        </w:tc>
        <w:tc>
          <w:tcPr>
            <w:tcW w:type="dxa" w:w="3802"/>
            <w:tcMar>
              <w:top w:w="60" w:type="dxa"/>
              <w:bottom w:w="60" w:type="dxa"/>
              <w:start w:w="110" w:type="dxa"/>
              <w:end w:w="110" w:type="dxa"/>
            </w:tcMar>
          </w:tcPr>
          <w:p>
            <w:pPr>
              <w:spacing w:after="0"/>
              <w:jc w:val="left"/>
            </w:pPr>
            <w:r>
              <w:rPr>
                <w:rFonts w:ascii="Calibri" w:hAnsi="Calibri"/>
                <w:b w:val="0"/>
                <w:i w:val="0"/>
                <w:color w:val="1B2A32"/>
                <w:sz w:val="17"/>
              </w:rPr>
              <w:t>Mandatory safety triage; shuttle mediation; PO referral; suitability veto</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Promising a quashing the law won't allow</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Failed settlement; loss of trust</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Quashability classifier; heinous-offence exclusion; court-effected closure only</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Coercion / power imbalance in sessions</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Unfair or void settlement</w:t>
            </w:r>
          </w:p>
        </w:tc>
        <w:tc>
          <w:tcPr>
            <w:tcW w:type="dxa" w:w="3802"/>
            <w:tcMar>
              <w:top w:w="60" w:type="dxa"/>
              <w:bottom w:w="60" w:type="dxa"/>
              <w:start w:w="110" w:type="dxa"/>
              <w:end w:w="110" w:type="dxa"/>
            </w:tcMar>
          </w:tcPr>
          <w:p>
            <w:pPr>
              <w:spacing w:after="0"/>
              <w:jc w:val="left"/>
            </w:pPr>
            <w:r>
              <w:rPr>
                <w:rFonts w:ascii="Calibri" w:hAnsi="Calibri"/>
                <w:b w:val="0"/>
                <w:i w:val="0"/>
                <w:color w:val="1B2A32"/>
                <w:sz w:val="17"/>
              </w:rPr>
              <w:t>Screening; private caucus; mediator training; voluntariness checks; right to withdraw</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Data breach of sensitive matrimonial data</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DPDP penalties; harm to parties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Encryption, RBAC, audit logs, breach-notification protocol; data minimisation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Mediator conflict of interest</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Challenge to MSA (s.28); bias</w:t>
            </w:r>
          </w:p>
        </w:tc>
        <w:tc>
          <w:tcPr>
            <w:tcW w:type="dxa" w:w="3802"/>
            <w:tcMar>
              <w:top w:w="60" w:type="dxa"/>
              <w:bottom w:w="60" w:type="dxa"/>
              <w:start w:w="110" w:type="dxa"/>
              <w:end w:w="110" w:type="dxa"/>
            </w:tcMar>
          </w:tcPr>
          <w:p>
            <w:pPr>
              <w:spacing w:after="0"/>
              <w:jc w:val="left"/>
            </w:pPr>
            <w:r>
              <w:rPr>
                <w:rFonts w:ascii="Calibri" w:hAnsi="Calibri"/>
                <w:b w:val="0"/>
                <w:i w:val="0"/>
                <w:color w:val="1B2A32"/>
                <w:sz w:val="17"/>
              </w:rPr>
              <w:t>Automated conflict check; mandatory disclosure; de-empanelment for breach</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Escrow funds stranded or misused</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Financial loss; disputes</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Regulated escrow agent; KYC/PMLA; contractual fallback; full audit trail</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7"/>
              </w:rPr>
              <w:t>Unauthorised practice of law / advice</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Regulatory &amp; ethical breach</w:t>
            </w:r>
          </w:p>
        </w:tc>
        <w:tc>
          <w:tcPr>
            <w:tcW w:type="dxa" w:w="3802"/>
            <w:tcMar>
              <w:top w:w="60" w:type="dxa"/>
              <w:bottom w:w="60" w:type="dxa"/>
              <w:start w:w="110" w:type="dxa"/>
              <w:end w:w="110" w:type="dxa"/>
            </w:tcMar>
          </w:tcPr>
          <w:p>
            <w:pPr>
              <w:spacing w:after="0"/>
              <w:jc w:val="left"/>
            </w:pPr>
            <w:r>
              <w:rPr>
                <w:rFonts w:ascii="Calibri" w:hAnsi="Calibri"/>
                <w:b w:val="0"/>
                <w:i w:val="0"/>
                <w:color w:val="1B2A32"/>
                <w:sz w:val="17"/>
              </w:rPr>
              <w:t>Case managers/mediators facilitate only; advocates handle legal advice &amp; court steps</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MSA not court-ready</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Delay; unenforceability</w:t>
            </w:r>
          </w:p>
        </w:tc>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Court-friendly drafting; recitals of consent, separation, welfare; legal review templates</w:t>
            </w:r>
          </w:p>
        </w:tc>
      </w:tr>
    </w:tbl>
    <w:p>
      <w:pPr>
        <w:spacing w:after="80"/>
      </w:pPr>
    </w:p>
    <w:p>
      <w:pPr>
        <w:spacing w:before="20" w:after="200"/>
        <w:jc w:val="center"/>
      </w:pPr>
      <w:r>
        <w:rPr>
          <w:rFonts w:ascii="Calibri" w:hAnsi="Calibri"/>
          <w:b w:val="0"/>
          <w:i/>
          <w:color w:val="556168"/>
          <w:sz w:val="17"/>
        </w:rPr>
        <w:t>Table 9 — Principal risks and controls.</w:t>
      </w:r>
    </w:p>
    <w:p>
      <w:pPr>
        <w:keepNext/>
        <w:spacing w:before="320" w:after="140"/>
        <w:pBdr>
          <w:bottom w:val="single" w:sz="12" w:space="3" w:color="C6A15B"/>
        </w:pBdr>
      </w:pPr>
      <w:r>
        <w:rPr>
          <w:rFonts w:ascii="Calibri" w:hAnsi="Calibri"/>
          <w:b/>
          <w:i w:val="0"/>
          <w:color w:val="123B4F"/>
          <w:sz w:val="34"/>
        </w:rPr>
        <w:t>26.  Implementation Roadmap</w:t>
      </w:r>
    </w:p>
    <w:p>
      <w:pPr>
        <w:pStyle w:val="ListNumber"/>
        <w:spacing w:after="60"/>
        <w:jc w:val="both"/>
      </w:pPr>
      <w:r>
        <w:rPr>
          <w:rFonts w:ascii="Calibri" w:hAnsi="Calibri"/>
          <w:b/>
          <w:i w:val="0"/>
          <w:color w:val="1B2A32"/>
          <w:sz w:val="21"/>
        </w:rPr>
        <w:t>Phase 1 — Foundation (Months 1–3):</w:t>
      </w:r>
      <w:r>
        <w:rPr>
          <w:rFonts w:ascii="Calibri" w:hAnsi="Calibri"/>
          <w:b w:val="0"/>
          <w:i w:val="0"/>
          <w:color w:val="1B2A32"/>
          <w:sz w:val="21"/>
        </w:rPr>
        <w:t xml:space="preserve"> publish Family Mediation Rules &amp; fee schedule; stand up the Dispute Explorer, intake, DPDP consent and case-management core; deploy the Forms Pack (F-01 to F-17); empanel the first cohort of family mediators with conflict-check tooling.</w:t>
      </w:r>
    </w:p>
    <w:p>
      <w:pPr>
        <w:pStyle w:val="ListNumber"/>
        <w:spacing w:after="60"/>
        <w:jc w:val="both"/>
      </w:pPr>
      <w:r>
        <w:rPr>
          <w:rFonts w:ascii="Calibri" w:hAnsi="Calibri"/>
          <w:b/>
          <w:i w:val="0"/>
          <w:color w:val="1B2A32"/>
          <w:sz w:val="21"/>
        </w:rPr>
        <w:t>Phase 2 — Escrow &amp; criminal track (Months 3–5):</w:t>
      </w:r>
      <w:r>
        <w:rPr>
          <w:rFonts w:ascii="Calibri" w:hAnsi="Calibri"/>
          <w:b w:val="0"/>
          <w:i w:val="0"/>
          <w:color w:val="1B2A32"/>
          <w:sz w:val="21"/>
        </w:rPr>
        <w:t xml:space="preserve"> integrate the RBI-regulated escrow partner; build the conditional-release engine; implement the quashability classifier and criminal-closure workflow; pilot with supervised live cases.</w:t>
      </w:r>
    </w:p>
    <w:p>
      <w:pPr>
        <w:pStyle w:val="ListNumber"/>
        <w:spacing w:after="60"/>
        <w:jc w:val="both"/>
      </w:pPr>
      <w:r>
        <w:rPr>
          <w:rFonts w:ascii="Calibri" w:hAnsi="Calibri"/>
          <w:b/>
          <w:i w:val="0"/>
          <w:color w:val="1B2A32"/>
          <w:sz w:val="21"/>
        </w:rPr>
        <w:t>Phase 3 — Court &amp; council alignment (Months 5–8):</w:t>
      </w:r>
      <w:r>
        <w:rPr>
          <w:rFonts w:ascii="Calibri" w:hAnsi="Calibri"/>
          <w:b w:val="0"/>
          <w:i w:val="0"/>
          <w:color w:val="1B2A32"/>
          <w:sz w:val="21"/>
        </w:rPr>
        <w:t xml:space="preserve"> seek family-court referral empanelment in priority cities; align records and MSA repository to Mediation Council standards; prepare for MSP recognition/grading.</w:t>
      </w:r>
    </w:p>
    <w:p>
      <w:pPr>
        <w:pStyle w:val="ListNumber"/>
        <w:spacing w:after="60"/>
        <w:jc w:val="both"/>
      </w:pPr>
      <w:r>
        <w:rPr>
          <w:rFonts w:ascii="Calibri" w:hAnsi="Calibri"/>
          <w:b/>
          <w:i w:val="0"/>
          <w:color w:val="1B2A32"/>
          <w:sz w:val="21"/>
        </w:rPr>
        <w:t>Phase 4 — Scale (Months 8–12):</w:t>
      </w:r>
      <w:r>
        <w:rPr>
          <w:rFonts w:ascii="Calibri" w:hAnsi="Calibri"/>
          <w:b w:val="0"/>
          <w:i w:val="0"/>
          <w:color w:val="1B2A32"/>
          <w:sz w:val="21"/>
        </w:rPr>
        <w:t xml:space="preserve"> expand the panel and languages; launch NRI video-mediation; publish anonymised outcome data; iterate the taxonomy and forms from live-case learning.</w:t>
      </w:r>
    </w:p>
    <w:p>
      <w:pPr>
        <w:spacing w:after="40"/>
      </w:pPr>
    </w:p>
    <w:p>
      <w:pPr>
        <w:keepNext/>
        <w:spacing w:before="320" w:after="140"/>
        <w:pBdr>
          <w:bottom w:val="single" w:sz="12" w:space="3" w:color="C6A15B"/>
        </w:pBdr>
      </w:pPr>
      <w:r>
        <w:rPr>
          <w:rFonts w:ascii="Calibri" w:hAnsi="Calibri"/>
          <w:b/>
          <w:i w:val="0"/>
          <w:color w:val="123B4F"/>
          <w:sz w:val="34"/>
        </w:rPr>
        <w:t>27.  Key Performance Indicators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8"/>
              </w:rPr>
              <w:t>KPI</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8"/>
              </w:rPr>
              <w:t>Definition</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8"/>
              </w:rPr>
              <w:t>Target (Year 1)</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8"/>
              </w:rPr>
              <w:t>Time to first session</w:t>
            </w:r>
          </w:p>
        </w:tc>
        <w:tc>
          <w:tcPr>
            <w:tcW w:type="dxa" w:w="4182"/>
            <w:tcMar>
              <w:top w:w="60" w:type="dxa"/>
              <w:bottom w:w="60" w:type="dxa"/>
              <w:start w:w="110" w:type="dxa"/>
              <w:end w:w="110" w:type="dxa"/>
            </w:tcMar>
          </w:tcPr>
          <w:p>
            <w:pPr>
              <w:spacing w:after="0"/>
              <w:jc w:val="left"/>
            </w:pPr>
            <w:r>
              <w:rPr>
                <w:rFonts w:ascii="Calibri" w:hAnsi="Calibri"/>
                <w:b w:val="0"/>
                <w:i w:val="0"/>
                <w:color w:val="1B2A32"/>
                <w:sz w:val="18"/>
              </w:rPr>
              <w:t>Filing → first mediation session</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 21 days (median)</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Cycle time</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Filing → MSA signed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120 days (median)</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8"/>
              </w:rPr>
              <w:t>Settlement rate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8"/>
              </w:rPr>
              <w:t>Cases settled (full/partial) ÷ commenced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 55%</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Respondent participation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Respondents who join ÷ notices served</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60%</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8"/>
              </w:rPr>
              <w:t>MSA registration compliance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8"/>
              </w:rPr>
              <w:t>MSAs registered within 180 days</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100%</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Escrow reliability</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Escrow releases executed to schedule</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99%</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8"/>
              </w:rPr>
              <w:t>Safety screening coverage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8"/>
              </w:rPr>
              <w:t>Cases with completed DV triage</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100%</w:t>
            </w:r>
          </w:p>
        </w:tc>
      </w:tr>
      <w:tr>
        <w:trPr>
          <w:trHeight w:val="0"/>
        </w:trPr>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Party satisfaction</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Post-case CSAT (F-16)</w:t>
            </w:r>
          </w:p>
        </w:tc>
        <w:tc>
          <w:tcPr>
            <w:tcW w:type="dxa" w:w="2471"/>
            <w:tcMar>
              <w:top w:w="60" w:type="dxa"/>
              <w:bottom w:w="60" w:type="dxa"/>
              <w:start w:w="110" w:type="dxa"/>
              <w:end w:w="110" w:type="dxa"/>
            </w:tcMar>
            <w:shd w:val="clear" w:color="auto" w:fill="F2F6F8"/>
          </w:tcPr>
          <w:p>
            <w:pPr>
              <w:spacing w:after="0"/>
              <w:jc w:val="left"/>
            </w:pPr>
            <w:r>
              <w:rPr>
                <w:rFonts w:ascii="Calibri" w:hAnsi="Calibri"/>
                <w:b w:val="0"/>
                <w:i w:val="0"/>
                <w:color w:val="1B2A32"/>
                <w:sz w:val="18"/>
              </w:rPr>
              <w:t>≥ 4.3 / 5</w:t>
            </w:r>
          </w:p>
        </w:tc>
      </w:tr>
      <w:tr>
        <w:trPr>
          <w:trHeight w:val="0"/>
        </w:trPr>
        <w:tc>
          <w:tcPr>
            <w:tcW w:type="dxa" w:w="2851"/>
            <w:tcMar>
              <w:top w:w="60" w:type="dxa"/>
              <w:bottom w:w="60" w:type="dxa"/>
              <w:start w:w="110" w:type="dxa"/>
              <w:end w:w="110" w:type="dxa"/>
            </w:tcMar>
          </w:tcPr>
          <w:p>
            <w:pPr>
              <w:spacing w:after="0"/>
              <w:jc w:val="left"/>
            </w:pPr>
            <w:r>
              <w:rPr>
                <w:rFonts w:ascii="Calibri" w:hAnsi="Calibri"/>
                <w:b w:val="0"/>
                <w:i w:val="0"/>
                <w:color w:val="1B2A32"/>
                <w:sz w:val="18"/>
              </w:rPr>
              <w:t>Challenge rate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8"/>
              </w:rPr>
              <w:t>MSAs challenged under s.28 ÷ registered</w:t>
            </w:r>
          </w:p>
        </w:tc>
        <w:tc>
          <w:tcPr>
            <w:tcW w:type="dxa" w:w="2471"/>
            <w:tcMar>
              <w:top w:w="60" w:type="dxa"/>
              <w:bottom w:w="60" w:type="dxa"/>
              <w:start w:w="110" w:type="dxa"/>
              <w:end w:w="110" w:type="dxa"/>
            </w:tcMar>
          </w:tcPr>
          <w:p>
            <w:pPr>
              <w:spacing w:after="0"/>
              <w:jc w:val="left"/>
            </w:pPr>
            <w:r>
              <w:rPr>
                <w:rFonts w:ascii="Calibri" w:hAnsi="Calibri"/>
                <w:b w:val="0"/>
                <w:i w:val="0"/>
                <w:color w:val="1B2A32"/>
                <w:sz w:val="18"/>
              </w:rPr>
              <w:t>≤ 2%</w:t>
            </w:r>
          </w:p>
        </w:tc>
      </w:tr>
    </w:tbl>
    <w:p>
      <w:pPr>
        <w:spacing w:after="80"/>
      </w:pPr>
    </w:p>
    <w:p>
      <w:pPr>
        <w:spacing w:before="20" w:after="200"/>
        <w:jc w:val="center"/>
      </w:pPr>
      <w:r>
        <w:rPr>
          <w:rFonts w:ascii="Calibri" w:hAnsi="Calibri"/>
          <w:b w:val="0"/>
          <w:i/>
          <w:color w:val="556168"/>
          <w:sz w:val="17"/>
        </w:rPr>
        <w:t>Table 10 — Family-vertical KPIs.</w:t>
      </w:r>
    </w:p>
    <w:p>
      <w:pPr>
        <w:keepNext/>
        <w:spacing w:before="320" w:after="140"/>
        <w:pBdr>
          <w:bottom w:val="single" w:sz="12" w:space="3" w:color="C6A15B"/>
        </w:pBdr>
      </w:pPr>
      <w:r>
        <w:rPr>
          <w:rFonts w:ascii="Calibri" w:hAnsi="Calibri"/>
          <w:b/>
          <w:i w:val="0"/>
          <w:color w:val="123B4F"/>
          <w:sz w:val="34"/>
        </w:rPr>
        <w:t>28.  Governance, Ethics &amp; the Mediator Code of Conduct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rules that keep Equator trustworthy: how mediators must behave, how they get (and lose) their place on the panel, how complaints are handled, and who oversees ethics. A credible institution lives or dies on this.</w:t>
            </w:r>
          </w:p>
        </w:tc>
      </w:tr>
    </w:tbl>
    <w:p>
      <w:pPr>
        <w:spacing w:after="120"/>
      </w:pPr>
    </w:p>
    <w:p>
      <w:pPr>
        <w:keepNext/>
        <w:spacing w:before="220" w:after="80"/>
      </w:pPr>
      <w:r>
        <w:rPr>
          <w:rFonts w:ascii="Calibri" w:hAnsi="Calibri"/>
          <w:b/>
          <w:i w:val="0"/>
          <w:color w:val="1E7A8C"/>
          <w:sz w:val="26"/>
        </w:rPr>
        <w:t>28.1   Mediator Code of Conduct</w:t>
      </w:r>
    </w:p>
    <w:p>
      <w:pPr>
        <w:pStyle w:val="ListBullet"/>
        <w:spacing w:after="60"/>
        <w:jc w:val="both"/>
      </w:pPr>
      <w:r>
        <w:rPr>
          <w:rFonts w:ascii="Calibri" w:hAnsi="Calibri"/>
          <w:b/>
          <w:i w:val="0"/>
          <w:color w:val="123B4F"/>
          <w:sz w:val="21"/>
        </w:rPr>
        <w:t xml:space="preserve">Neutrality &amp; impartiality: </w:t>
      </w:r>
      <w:r>
        <w:rPr>
          <w:rFonts w:ascii="Calibri" w:hAnsi="Calibri"/>
          <w:b w:val="0"/>
          <w:i w:val="0"/>
          <w:color w:val="1B2A32"/>
          <w:sz w:val="21"/>
        </w:rPr>
        <w:t>act without favour to either spouse; disclose and, if needed, withdraw on any conflict (F-06).</w:t>
      </w:r>
    </w:p>
    <w:p>
      <w:pPr>
        <w:pStyle w:val="ListBullet"/>
        <w:spacing w:after="60"/>
        <w:jc w:val="both"/>
      </w:pPr>
      <w:r>
        <w:rPr>
          <w:rFonts w:ascii="Calibri" w:hAnsi="Calibri"/>
          <w:b/>
          <w:i w:val="0"/>
          <w:color w:val="123B4F"/>
          <w:sz w:val="21"/>
        </w:rPr>
        <w:t xml:space="preserve">Self-determination: </w:t>
      </w:r>
      <w:r>
        <w:rPr>
          <w:rFonts w:ascii="Calibri" w:hAnsi="Calibri"/>
          <w:b w:val="0"/>
          <w:i w:val="0"/>
          <w:color w:val="1B2A32"/>
          <w:sz w:val="21"/>
        </w:rPr>
        <w:t>facilitate the parties' own decisions; never coerce a settlement or impose terms.</w:t>
      </w:r>
    </w:p>
    <w:p>
      <w:pPr>
        <w:pStyle w:val="ListBullet"/>
        <w:spacing w:after="60"/>
        <w:jc w:val="both"/>
      </w:pPr>
      <w:r>
        <w:rPr>
          <w:rFonts w:ascii="Calibri" w:hAnsi="Calibri"/>
          <w:b/>
          <w:i w:val="0"/>
          <w:color w:val="123B4F"/>
          <w:sz w:val="21"/>
        </w:rPr>
        <w:t xml:space="preserve">Confidentiality: </w:t>
      </w:r>
      <w:r>
        <w:rPr>
          <w:rFonts w:ascii="Calibri" w:hAnsi="Calibri"/>
          <w:b w:val="0"/>
          <w:i w:val="0"/>
          <w:color w:val="1B2A32"/>
          <w:sz w:val="21"/>
        </w:rPr>
        <w:t>protect all mediation communications, subject only to the statutory safety carve-outs.</w:t>
      </w:r>
    </w:p>
    <w:p>
      <w:pPr>
        <w:pStyle w:val="ListBullet"/>
        <w:spacing w:after="60"/>
        <w:jc w:val="both"/>
      </w:pPr>
      <w:r>
        <w:rPr>
          <w:rFonts w:ascii="Calibri" w:hAnsi="Calibri"/>
          <w:b/>
          <w:i w:val="0"/>
          <w:color w:val="123B4F"/>
          <w:sz w:val="21"/>
        </w:rPr>
        <w:t xml:space="preserve">Competence: </w:t>
      </w:r>
      <w:r>
        <w:rPr>
          <w:rFonts w:ascii="Calibri" w:hAnsi="Calibri"/>
          <w:b w:val="0"/>
          <w:i w:val="0"/>
          <w:color w:val="1B2A32"/>
          <w:sz w:val="21"/>
        </w:rPr>
        <w:t>mediate only within one's trained specialisation; decline matters beyond it.</w:t>
      </w:r>
    </w:p>
    <w:p>
      <w:pPr>
        <w:pStyle w:val="ListBullet"/>
        <w:spacing w:after="60"/>
        <w:jc w:val="both"/>
      </w:pPr>
      <w:r>
        <w:rPr>
          <w:rFonts w:ascii="Calibri" w:hAnsi="Calibri"/>
          <w:b/>
          <w:i w:val="0"/>
          <w:color w:val="123B4F"/>
          <w:sz w:val="21"/>
        </w:rPr>
        <w:t xml:space="preserve">No legal advice: </w:t>
      </w:r>
      <w:r>
        <w:rPr>
          <w:rFonts w:ascii="Calibri" w:hAnsi="Calibri"/>
          <w:b w:val="0"/>
          <w:i w:val="0"/>
          <w:color w:val="1B2A32"/>
          <w:sz w:val="21"/>
        </w:rPr>
        <w:t>do not advise either party on the merits; encourage independent legal advice.</w:t>
      </w:r>
    </w:p>
    <w:p>
      <w:pPr>
        <w:pStyle w:val="ListBullet"/>
        <w:spacing w:after="60"/>
        <w:jc w:val="both"/>
      </w:pPr>
      <w:r>
        <w:rPr>
          <w:rFonts w:ascii="Calibri" w:hAnsi="Calibri"/>
          <w:b/>
          <w:i w:val="0"/>
          <w:color w:val="123B4F"/>
          <w:sz w:val="21"/>
        </w:rPr>
        <w:t xml:space="preserve">Safety &amp; welfare: </w:t>
      </w:r>
      <w:r>
        <w:rPr>
          <w:rFonts w:ascii="Calibri" w:hAnsi="Calibri"/>
          <w:b w:val="0"/>
          <w:i w:val="0"/>
          <w:color w:val="1B2A32"/>
          <w:sz w:val="21"/>
        </w:rPr>
        <w:t>prioritise party safety and, where children are involved, their welfare above all.</w:t>
      </w:r>
    </w:p>
    <w:p>
      <w:pPr>
        <w:pStyle w:val="ListBullet"/>
        <w:spacing w:after="60"/>
        <w:jc w:val="both"/>
      </w:pPr>
      <w:r>
        <w:rPr>
          <w:rFonts w:ascii="Calibri" w:hAnsi="Calibri"/>
          <w:b/>
          <w:i w:val="0"/>
          <w:color w:val="123B4F"/>
          <w:sz w:val="21"/>
        </w:rPr>
        <w:t xml:space="preserve">Integrity of process: </w:t>
      </w:r>
      <w:r>
        <w:rPr>
          <w:rFonts w:ascii="Calibri" w:hAnsi="Calibri"/>
          <w:b w:val="0"/>
          <w:i w:val="0"/>
          <w:color w:val="1B2A32"/>
          <w:sz w:val="21"/>
        </w:rPr>
        <w:t>keep to the statutory timeline, keep accurate records, and charge only the scheduled fee.</w:t>
      </w:r>
    </w:p>
    <w:p>
      <w:pPr>
        <w:spacing w:after="40"/>
      </w:pPr>
    </w:p>
    <w:p>
      <w:pPr>
        <w:keepNext/>
        <w:spacing w:before="220" w:after="80"/>
      </w:pPr>
      <w:r>
        <w:rPr>
          <w:rFonts w:ascii="Calibri" w:hAnsi="Calibri"/>
          <w:b/>
          <w:i w:val="0"/>
          <w:color w:val="1E7A8C"/>
          <w:sz w:val="26"/>
        </w:rPr>
        <w:t>28.2   Empanelment, training &amp; grading</w:t>
      </w:r>
    </w:p>
    <w:p>
      <w:pPr>
        <w:spacing w:after="140"/>
        <w:jc w:val="both"/>
      </w:pPr>
      <w:r>
        <w:rPr>
          <w:rFonts w:ascii="Calibri" w:hAnsi="Calibri"/>
          <w:b w:val="0"/>
          <w:i w:val="0"/>
          <w:color w:val="1B2A32"/>
          <w:sz w:val="21"/>
        </w:rPr>
        <w:t>Empanelment requires accredited mediation training, a clean conflicts declaration, acceptance of the Code of Conduct and a confidentiality undertaking, and — as the Mediation Council's framework matures — MCI registration. Panellists are specialisation-tagged and graded A/B/C for seniority and fee. Equator runs onboarding and periodic refresher training on family-law developments, trauma-informed practice, domestic-violence screening, child-inclusive mediation and data protection.</w:t>
      </w:r>
    </w:p>
    <w:p>
      <w:pPr>
        <w:keepNext/>
        <w:spacing w:before="220" w:after="80"/>
      </w:pPr>
      <w:r>
        <w:rPr>
          <w:rFonts w:ascii="Calibri" w:hAnsi="Calibri"/>
          <w:b/>
          <w:i w:val="0"/>
          <w:color w:val="1E7A8C"/>
          <w:sz w:val="26"/>
        </w:rPr>
        <w:t>28.3   Continuous evaluation &amp; de-empanelment</w:t>
      </w:r>
    </w:p>
    <w:p>
      <w:pPr>
        <w:spacing w:after="140"/>
        <w:jc w:val="both"/>
      </w:pPr>
      <w:r>
        <w:rPr>
          <w:rFonts w:ascii="Calibri" w:hAnsi="Calibri"/>
          <w:b w:val="0"/>
          <w:i w:val="0"/>
          <w:color w:val="1B2A32"/>
          <w:sz w:val="21"/>
        </w:rPr>
        <w:t>Every closed case invites party feedback (F-16), feeding a rolling quality score. Persistent low scores, or any breach of neutrality, confidentiality or the Code, trigger review and, where warranted, suspension or de-empanelment. Grading is revisited annually.</w:t>
      </w:r>
    </w:p>
    <w:p>
      <w:pPr>
        <w:keepNext/>
        <w:spacing w:before="220" w:after="80"/>
      </w:pPr>
      <w:r>
        <w:rPr>
          <w:rFonts w:ascii="Calibri" w:hAnsi="Calibri"/>
          <w:b/>
          <w:i w:val="0"/>
          <w:color w:val="1E7A8C"/>
          <w:sz w:val="26"/>
        </w:rPr>
        <w:t>28.4   Grievance redressal &amp; complaints</w:t>
      </w:r>
    </w:p>
    <w:p>
      <w:pPr>
        <w:spacing w:after="140"/>
        <w:jc w:val="both"/>
      </w:pPr>
      <w:r>
        <w:rPr>
          <w:rFonts w:ascii="Calibri" w:hAnsi="Calibri"/>
          <w:b w:val="0"/>
          <w:i w:val="0"/>
          <w:color w:val="1B2A32"/>
          <w:sz w:val="21"/>
        </w:rPr>
        <w:t>Any party may raise a grievance (F-22) about a mediator, a case manager, the process, fees or data handling. Equator acknowledges within three working days and aims to resolve within fifteen. Data-privacy grievances go to the Data Grievance Officer; unresolved matters may be escalated to the Mediation Council of India where applicable. An internal Ethics &amp; Standards committee oversees conduct, conflicts and de-empanelment decisions.</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This governance layer is exactly what the Mediation Council of India will assess when recognising and grading a Mediation Service Provider. Building it now makes future MCI recognition a formality.</w:t>
            </w:r>
          </w:p>
        </w:tc>
      </w:tr>
    </w:tbl>
    <w:p>
      <w:pPr>
        <w:spacing w:after="120"/>
      </w:pPr>
    </w:p>
    <w:p>
      <w:pPr>
        <w:keepNext/>
        <w:spacing w:before="220" w:after="80"/>
      </w:pPr>
      <w:r>
        <w:rPr>
          <w:rFonts w:ascii="Calibri" w:hAnsi="Calibri"/>
          <w:b/>
          <w:i w:val="0"/>
          <w:color w:val="1E7A8C"/>
          <w:sz w:val="26"/>
        </w:rPr>
        <w:t>28.5   Ethics in practice — worked dilemmas</w:t>
      </w:r>
    </w:p>
    <w:p>
      <w:pPr>
        <w:spacing w:after="140"/>
        <w:jc w:val="both"/>
      </w:pPr>
      <w:r>
        <w:rPr>
          <w:rFonts w:ascii="Calibri" w:hAnsi="Calibri"/>
          <w:b w:val="0"/>
          <w:i w:val="0"/>
          <w:color w:val="1B2A32"/>
          <w:sz w:val="21"/>
        </w:rPr>
        <w:t>The Code is only as good as the judgement that applies it. The scenarios below are used in training and are expanded in the Mediator Toolkit; each states the tension and the expected response.</w:t>
      </w:r>
    </w:p>
    <w:p>
      <w:pPr>
        <w:pStyle w:val="ListBullet"/>
        <w:spacing w:after="60"/>
        <w:jc w:val="both"/>
      </w:pPr>
      <w:r>
        <w:rPr>
          <w:rFonts w:ascii="Calibri" w:hAnsi="Calibri"/>
          <w:b/>
          <w:i w:val="0"/>
          <w:color w:val="123B4F"/>
          <w:sz w:val="21"/>
        </w:rPr>
        <w:t xml:space="preserve">Hidden assets: </w:t>
      </w:r>
      <w:r>
        <w:rPr>
          <w:rFonts w:ascii="Calibri" w:hAnsi="Calibri"/>
          <w:b w:val="0"/>
          <w:i w:val="0"/>
          <w:color w:val="1B2A32"/>
          <w:sz w:val="21"/>
        </w:rPr>
        <w:t>A party privately admits, in caucus, to undisclosed assets. The mediator does not disclose the caucus confidence, but must not let the mediation produce a settlement built on a material lie — the mediator encourages disclosure, tests the settlement's fairness, and may withdraw rather than lend the process to a fraud (a ground to challenge an MSA under s.28).</w:t>
      </w:r>
    </w:p>
    <w:p>
      <w:pPr>
        <w:pStyle w:val="ListBullet"/>
        <w:spacing w:after="60"/>
        <w:jc w:val="both"/>
      </w:pPr>
      <w:r>
        <w:rPr>
          <w:rFonts w:ascii="Calibri" w:hAnsi="Calibri"/>
          <w:b/>
          <w:i w:val="0"/>
          <w:color w:val="123B4F"/>
          <w:sz w:val="21"/>
        </w:rPr>
        <w:t xml:space="preserve">Abuse surfaces mid-session: </w:t>
      </w:r>
      <w:r>
        <w:rPr>
          <w:rFonts w:ascii="Calibri" w:hAnsi="Calibri"/>
          <w:b w:val="0"/>
          <w:i w:val="0"/>
          <w:color w:val="1B2A32"/>
          <w:sz w:val="21"/>
        </w:rPr>
        <w:t>If violence or a safety threat emerges, the confidentiality privilege does not apply; the mediator invokes the safety protocol, separates the parties, and refers to a Protection Officer — safety over settlement.</w:t>
      </w:r>
    </w:p>
    <w:p>
      <w:pPr>
        <w:pStyle w:val="ListBullet"/>
        <w:spacing w:after="60"/>
        <w:jc w:val="both"/>
      </w:pPr>
      <w:r>
        <w:rPr>
          <w:rFonts w:ascii="Calibri" w:hAnsi="Calibri"/>
          <w:b/>
          <w:i w:val="0"/>
          <w:color w:val="123B4F"/>
          <w:sz w:val="21"/>
        </w:rPr>
        <w:t xml:space="preserve">Pressure from a lawyer or relative: </w:t>
      </w:r>
      <w:r>
        <w:rPr>
          <w:rFonts w:ascii="Calibri" w:hAnsi="Calibri"/>
          <w:b w:val="0"/>
          <w:i w:val="0"/>
          <w:color w:val="1B2A32"/>
          <w:sz w:val="21"/>
        </w:rPr>
        <w:t>If a representative or relative is coercing a party, the mediator uses private caucus to test genuine voluntariness and pauses or terminates if consent is not free.</w:t>
      </w:r>
    </w:p>
    <w:p>
      <w:pPr>
        <w:pStyle w:val="ListBullet"/>
        <w:spacing w:after="60"/>
        <w:jc w:val="both"/>
      </w:pPr>
      <w:r>
        <w:rPr>
          <w:rFonts w:ascii="Calibri" w:hAnsi="Calibri"/>
          <w:b/>
          <w:i w:val="0"/>
          <w:color w:val="123B4F"/>
          <w:sz w:val="21"/>
        </w:rPr>
        <w:t xml:space="preserve">Drift into legal advice: </w:t>
      </w:r>
      <w:r>
        <w:rPr>
          <w:rFonts w:ascii="Calibri" w:hAnsi="Calibri"/>
          <w:b w:val="0"/>
          <w:i w:val="0"/>
          <w:color w:val="1B2A32"/>
          <w:sz w:val="21"/>
        </w:rPr>
        <w:t>A party asks 'what should I accept?' The mediator reframes, gives no legal advice, and directs the party to independent counsel.</w:t>
      </w:r>
    </w:p>
    <w:p>
      <w:pPr>
        <w:pStyle w:val="ListBullet"/>
        <w:spacing w:after="60"/>
        <w:jc w:val="both"/>
      </w:pPr>
      <w:r>
        <w:rPr>
          <w:rFonts w:ascii="Calibri" w:hAnsi="Calibri"/>
          <w:b/>
          <w:i w:val="0"/>
          <w:color w:val="123B4F"/>
          <w:sz w:val="21"/>
        </w:rPr>
        <w:t xml:space="preserve">A term that harms a child: </w:t>
      </w:r>
      <w:r>
        <w:rPr>
          <w:rFonts w:ascii="Calibri" w:hAnsi="Calibri"/>
          <w:b w:val="0"/>
          <w:i w:val="0"/>
          <w:color w:val="1B2A32"/>
          <w:sz w:val="21"/>
        </w:rPr>
        <w:t>If parents bargain custody against money in a way that ignores the child's welfare, the mediator refuses to record a plan that is not child-centred.</w:t>
      </w:r>
    </w:p>
    <w:p>
      <w:pPr>
        <w:spacing w:after="40"/>
      </w:pPr>
    </w:p>
    <w:p>
      <w:r>
        <w:br w:type="page"/>
      </w:r>
    </w:p>
    <w:p>
      <w:pPr>
        <w:spacing w:before="600" w:after="40"/>
      </w:pPr>
      <w:r>
        <w:rPr>
          <w:rFonts w:ascii="Calibri" w:hAnsi="Calibri"/>
          <w:b/>
          <w:i w:val="0"/>
          <w:color w:val="C6A15B"/>
          <w:sz w:val="26"/>
        </w:rPr>
        <w:t>PART E</w:t>
      </w:r>
    </w:p>
    <w:p>
      <w:pPr>
        <w:spacing w:after="200"/>
        <w:pBdr>
          <w:bottom w:val="single" w:sz="18" w:space="3" w:color="1E7A8C"/>
        </w:pBdr>
      </w:pPr>
      <w:r>
        <w:rPr>
          <w:rFonts w:ascii="Calibri" w:hAnsi="Calibri"/>
          <w:b/>
          <w:i w:val="0"/>
          <w:color w:val="123B4F"/>
          <w:sz w:val="46"/>
        </w:rPr>
        <w:t>Strengthening Resolution — Global Best Practice &amp; Process</w:t>
      </w:r>
    </w:p>
    <w:p>
      <w:pPr>
        <w:keepNext/>
        <w:spacing w:before="320" w:after="140"/>
        <w:pBdr>
          <w:bottom w:val="single" w:sz="12" w:space="3" w:color="C6A15B"/>
        </w:pBdr>
      </w:pPr>
      <w:r>
        <w:rPr>
          <w:rFonts w:ascii="Calibri" w:hAnsi="Calibri"/>
          <w:b/>
          <w:i w:val="0"/>
          <w:color w:val="123B4F"/>
          <w:sz w:val="34"/>
        </w:rPr>
        <w:t>29.  Global Best Practice in Family Mediation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world's mature family-mediation systems — the US, England &amp; Wales, Australia and the EU — have already learned what makes family ADR work. Equator adopts the best of each, adapted to Indian law: a structured information-and-suitability session, rigorous domestic-abuse screening, child-inclusive practice, accredited neutrals, subsidy for those who can't pay, and a certificate the court will recognise.</w:t>
            </w:r>
          </w:p>
        </w:tc>
      </w:tr>
    </w:tbl>
    <w:p>
      <w:pPr>
        <w:spacing w:after="120"/>
      </w:pPr>
    </w:p>
    <w:p>
      <w:pPr>
        <w:spacing w:after="140"/>
        <w:jc w:val="both"/>
      </w:pPr>
      <w:r>
        <w:rPr>
          <w:rFonts w:ascii="Calibri" w:hAnsi="Calibri"/>
          <w:b w:val="0"/>
          <w:i w:val="0"/>
          <w:color w:val="1B2A32"/>
          <w:sz w:val="21"/>
        </w:rPr>
        <w:t xml:space="preserve">Equator's model is not invented from scratch; it is built on the settled international consensus about what family mediation should look like, translated into the Mediation Act, 2023 framework. Four systems are especially instructive. In the </w:t>
      </w:r>
      <w:r>
        <w:rPr>
          <w:rFonts w:ascii="Calibri" w:hAnsi="Calibri"/>
          <w:b/>
          <w:i w:val="0"/>
          <w:color w:val="1B2A32"/>
          <w:sz w:val="21"/>
        </w:rPr>
        <w:t>United States</w:t>
      </w:r>
      <w:r>
        <w:rPr>
          <w:rFonts w:ascii="Calibri" w:hAnsi="Calibri"/>
          <w:b w:val="0"/>
          <w:i w:val="0"/>
          <w:color w:val="1B2A32"/>
          <w:sz w:val="21"/>
        </w:rPr>
        <w:t xml:space="preserve">, the AFCC/ABA Model Standards of Practice for Family and Divorce Mediation (updated 2025) require mediators to screen for domestic abuse before and throughout the process, to be specifically trained, and to hold separate sessions or suspend mediation where abuse or coercive control is present; several states (e.g., California) route custody disputes through mediation by default. In </w:t>
      </w:r>
      <w:r>
        <w:rPr>
          <w:rFonts w:ascii="Calibri" w:hAnsi="Calibri"/>
          <w:b/>
          <w:i w:val="0"/>
          <w:color w:val="1B2A32"/>
          <w:sz w:val="21"/>
        </w:rPr>
        <w:t>England &amp; Wales</w:t>
      </w:r>
      <w:r>
        <w:rPr>
          <w:rFonts w:ascii="Calibri" w:hAnsi="Calibri"/>
          <w:b w:val="0"/>
          <w:i w:val="0"/>
          <w:color w:val="1B2A32"/>
          <w:sz w:val="21"/>
        </w:rPr>
        <w:t xml:space="preserve">, a party must ordinarily attend a </w:t>
      </w:r>
      <w:r>
        <w:rPr>
          <w:rFonts w:ascii="Calibri" w:hAnsi="Calibri"/>
          <w:b/>
          <w:i w:val="0"/>
          <w:color w:val="1B2A32"/>
          <w:sz w:val="21"/>
        </w:rPr>
        <w:t>Mediation Information and Assessment Meeting (MIAM)</w:t>
      </w:r>
      <w:r>
        <w:rPr>
          <w:rFonts w:ascii="Calibri" w:hAnsi="Calibri"/>
          <w:b w:val="0"/>
          <w:i w:val="0"/>
          <w:color w:val="1B2A32"/>
          <w:sz w:val="21"/>
        </w:rPr>
        <w:t xml:space="preserve"> before applying to court, a </w:t>
      </w:r>
      <w:r>
        <w:rPr>
          <w:rFonts w:ascii="Calibri" w:hAnsi="Calibri"/>
          <w:b/>
          <w:i w:val="0"/>
          <w:color w:val="1B2A32"/>
          <w:sz w:val="21"/>
        </w:rPr>
        <w:t>£500 mediation voucher</w:t>
      </w:r>
      <w:r>
        <w:rPr>
          <w:rFonts w:ascii="Calibri" w:hAnsi="Calibri"/>
          <w:b w:val="0"/>
          <w:i w:val="0"/>
          <w:color w:val="1B2A32"/>
          <w:sz w:val="21"/>
        </w:rPr>
        <w:t xml:space="preserve"> subsidises family mediation, and </w:t>
      </w:r>
      <w:r>
        <w:rPr>
          <w:rFonts w:ascii="Calibri" w:hAnsi="Calibri"/>
          <w:b/>
          <w:i w:val="0"/>
          <w:color w:val="1B2A32"/>
          <w:sz w:val="21"/>
        </w:rPr>
        <w:t>child-inclusive mediation</w:t>
      </w:r>
      <w:r>
        <w:rPr>
          <w:rFonts w:ascii="Calibri" w:hAnsi="Calibri"/>
          <w:b w:val="0"/>
          <w:i w:val="0"/>
          <w:color w:val="1B2A32"/>
          <w:sz w:val="21"/>
        </w:rPr>
        <w:t xml:space="preserve"> is offered where a child is 10 or older. In </w:t>
      </w:r>
      <w:r>
        <w:rPr>
          <w:rFonts w:ascii="Calibri" w:hAnsi="Calibri"/>
          <w:b/>
          <w:i w:val="0"/>
          <w:color w:val="1B2A32"/>
          <w:sz w:val="21"/>
        </w:rPr>
        <w:t>Australia</w:t>
      </w:r>
      <w:r>
        <w:rPr>
          <w:rFonts w:ascii="Calibri" w:hAnsi="Calibri"/>
          <w:b w:val="0"/>
          <w:i w:val="0"/>
          <w:color w:val="1B2A32"/>
          <w:sz w:val="21"/>
        </w:rPr>
        <w:t xml:space="preserve">, families in a parenting dispute must make a genuine effort at </w:t>
      </w:r>
      <w:r>
        <w:rPr>
          <w:rFonts w:ascii="Calibri" w:hAnsi="Calibri"/>
          <w:b/>
          <w:i w:val="0"/>
          <w:color w:val="1B2A32"/>
          <w:sz w:val="21"/>
        </w:rPr>
        <w:t>Family Dispute Resolution</w:t>
      </w:r>
      <w:r>
        <w:rPr>
          <w:rFonts w:ascii="Calibri" w:hAnsi="Calibri"/>
          <w:b w:val="0"/>
          <w:i w:val="0"/>
          <w:color w:val="1B2A32"/>
          <w:sz w:val="21"/>
        </w:rPr>
        <w:t xml:space="preserve"> and obtain a </w:t>
      </w:r>
      <w:r>
        <w:rPr>
          <w:rFonts w:ascii="Calibri" w:hAnsi="Calibri"/>
          <w:b/>
          <w:i w:val="0"/>
          <w:color w:val="1B2A32"/>
          <w:sz w:val="21"/>
        </w:rPr>
        <w:t>Section 60I certificate</w:t>
      </w:r>
      <w:r>
        <w:rPr>
          <w:rFonts w:ascii="Calibri" w:hAnsi="Calibri"/>
          <w:b w:val="0"/>
          <w:i w:val="0"/>
          <w:color w:val="1B2A32"/>
          <w:sz w:val="21"/>
        </w:rPr>
        <w:t xml:space="preserve"> before a court will hear a parenting application (with exceptions for violence, abuse and urgency), delivered through free </w:t>
      </w:r>
      <w:r>
        <w:rPr>
          <w:rFonts w:ascii="Calibri" w:hAnsi="Calibri"/>
          <w:b/>
          <w:i w:val="0"/>
          <w:color w:val="1B2A32"/>
          <w:sz w:val="21"/>
        </w:rPr>
        <w:t>Family Relationship Centres</w:t>
      </w:r>
      <w:r>
        <w:rPr>
          <w:rFonts w:ascii="Calibri" w:hAnsi="Calibri"/>
          <w:b w:val="0"/>
          <w:i w:val="0"/>
          <w:color w:val="1B2A32"/>
          <w:sz w:val="21"/>
        </w:rPr>
        <w:t xml:space="preserve"> and child-inclusive practice. Across the </w:t>
      </w:r>
      <w:r>
        <w:rPr>
          <w:rFonts w:ascii="Calibri" w:hAnsi="Calibri"/>
          <w:b/>
          <w:i w:val="0"/>
          <w:color w:val="1B2A32"/>
          <w:sz w:val="21"/>
        </w:rPr>
        <w:t>EU</w:t>
      </w:r>
      <w:r>
        <w:rPr>
          <w:rFonts w:ascii="Calibri" w:hAnsi="Calibri"/>
          <w:b w:val="0"/>
          <w:i w:val="0"/>
          <w:color w:val="1B2A32"/>
          <w:sz w:val="21"/>
        </w:rPr>
        <w:t>, the Mediation Directive (2008/52/EC) underpins cross-border mediation and enforceability.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Jurisdiction</w:t>
            </w:r>
          </w:p>
        </w:tc>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7"/>
              </w:rPr>
              <w:t>Signature practice</w:t>
            </w:r>
          </w:p>
        </w:tc>
        <w:tc>
          <w:tcPr>
            <w:tcW w:type="dxa" w:w="3612"/>
            <w:shd w:val="clear" w:color="auto" w:fill="123B4F"/>
            <w:tcMar>
              <w:top w:w="60" w:type="dxa"/>
              <w:bottom w:w="60" w:type="dxa"/>
              <w:start w:w="110" w:type="dxa"/>
              <w:end w:w="110" w:type="dxa"/>
            </w:tcMar>
          </w:tcPr>
          <w:p>
            <w:pPr>
              <w:spacing w:after="0"/>
            </w:pPr>
            <w:r>
              <w:rPr>
                <w:rFonts w:ascii="Calibri" w:hAnsi="Calibri"/>
                <w:b/>
                <w:i w:val="0"/>
                <w:color w:val="FFFFFF"/>
                <w:sz w:val="17"/>
              </w:rPr>
              <w:t>What Equator adopts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United States</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AFCC/ABA Model Standards; MASIC abuse screening; trained neutrals</w:t>
            </w:r>
          </w:p>
        </w:tc>
        <w:tc>
          <w:tcPr>
            <w:tcW w:type="dxa" w:w="3612"/>
            <w:tcMar>
              <w:top w:w="60" w:type="dxa"/>
              <w:bottom w:w="60" w:type="dxa"/>
              <w:start w:w="110" w:type="dxa"/>
              <w:end w:w="110" w:type="dxa"/>
            </w:tcMar>
          </w:tcPr>
          <w:p>
            <w:pPr>
              <w:spacing w:after="0"/>
              <w:jc w:val="left"/>
            </w:pPr>
            <w:r>
              <w:rPr>
                <w:rFonts w:ascii="Calibri" w:hAnsi="Calibri"/>
                <w:b w:val="0"/>
                <w:i w:val="0"/>
                <w:color w:val="1B2A32"/>
                <w:sz w:val="17"/>
              </w:rPr>
              <w:t>Adopt the Model-Standards ethic and MASIC-informed screening (Form F-26); mandatory mediator training</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England &amp; Wales</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MIAM before court; £500 voucher; child-inclusive at 10+</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 Mediation Information &amp; Suitability Session (MISS); a fee-waiver/voucher track; child-inclusive protocol (F-29)</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Australia</w:t>
            </w:r>
          </w:p>
        </w:tc>
        <w:tc>
          <w:tcPr>
            <w:tcW w:type="dxa" w:w="3992"/>
            <w:tcMar>
              <w:top w:w="60" w:type="dxa"/>
              <w:bottom w:w="60" w:type="dxa"/>
              <w:start w:w="110" w:type="dxa"/>
              <w:end w:w="110" w:type="dxa"/>
            </w:tcMar>
          </w:tcPr>
          <w:p>
            <w:pPr>
              <w:spacing w:after="0"/>
              <w:jc w:val="left"/>
            </w:pPr>
            <w:r>
              <w:rPr>
                <w:rFonts w:ascii="Calibri" w:hAnsi="Calibri"/>
                <w:b w:val="0"/>
                <w:i w:val="0"/>
                <w:color w:val="1B2A32"/>
                <w:sz w:val="17"/>
              </w:rPr>
              <w:t>Genuine-effort FDR; s.60I certificate; Family Relationship Centres</w:t>
            </w:r>
          </w:p>
        </w:tc>
        <w:tc>
          <w:tcPr>
            <w:tcW w:type="dxa" w:w="3612"/>
            <w:tcMar>
              <w:top w:w="60" w:type="dxa"/>
              <w:bottom w:w="60" w:type="dxa"/>
              <w:start w:w="110" w:type="dxa"/>
              <w:end w:w="110" w:type="dxa"/>
            </w:tcMar>
          </w:tcPr>
          <w:p>
            <w:pPr>
              <w:spacing w:after="0"/>
              <w:jc w:val="left"/>
            </w:pPr>
            <w:r>
              <w:rPr>
                <w:rFonts w:ascii="Calibri" w:hAnsi="Calibri"/>
                <w:b w:val="0"/>
                <w:i w:val="0"/>
                <w:color w:val="1B2A32"/>
                <w:sz w:val="17"/>
              </w:rPr>
              <w:t>A certificate of attempted mediation for court use (F-14/F-28); a free first information session</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European Union</w:t>
            </w:r>
          </w:p>
        </w:tc>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Mediation Directive 2008/52/EC; cross-border enforceability</w:t>
            </w:r>
          </w:p>
        </w:tc>
        <w:tc>
          <w:tcPr>
            <w:tcW w:type="dxa" w:w="36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Cross-border/NRI-ready process; MSA enforceable as a decree (s.27)</w:t>
            </w:r>
          </w:p>
        </w:tc>
      </w:tr>
    </w:tbl>
    <w:p>
      <w:pPr>
        <w:spacing w:after="80"/>
      </w:pPr>
    </w:p>
    <w:p>
      <w:pPr>
        <w:spacing w:before="20" w:after="200"/>
        <w:jc w:val="center"/>
      </w:pPr>
      <w:r>
        <w:rPr>
          <w:rFonts w:ascii="Calibri" w:hAnsi="Calibri"/>
          <w:b w:val="0"/>
          <w:i/>
          <w:color w:val="556168"/>
          <w:sz w:val="17"/>
        </w:rPr>
        <w:t>Table — Global best practice mapped to Equator's Indian implementation.</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Sources: AFCC/ABA </w:t>
            </w:r>
            <w:r>
              <w:rPr>
                <w:rFonts w:ascii="Calibri" w:hAnsi="Calibri"/>
                <w:b/>
                <w:i w:val="0"/>
                <w:color w:val="1B2A32"/>
                <w:sz w:val="20"/>
              </w:rPr>
              <w:t>Model Standards of Practice for Family and Divorce Mediation</w:t>
            </w:r>
            <w:r>
              <w:rPr>
                <w:rFonts w:ascii="Calibri" w:hAnsi="Calibri"/>
                <w:b w:val="0"/>
                <w:i w:val="0"/>
                <w:color w:val="1B2A32"/>
                <w:sz w:val="20"/>
              </w:rPr>
              <w:t xml:space="preserve"> (2000; 2025 update) and the </w:t>
            </w:r>
            <w:r>
              <w:rPr>
                <w:rFonts w:ascii="Calibri" w:hAnsi="Calibri"/>
                <w:b/>
                <w:i w:val="0"/>
                <w:color w:val="1B2A32"/>
                <w:sz w:val="20"/>
              </w:rPr>
              <w:t>MASIC</w:t>
            </w:r>
            <w:r>
              <w:rPr>
                <w:rFonts w:ascii="Calibri" w:hAnsi="Calibri"/>
                <w:b w:val="0"/>
                <w:i w:val="0"/>
                <w:color w:val="1B2A32"/>
                <w:sz w:val="20"/>
              </w:rPr>
              <w:t xml:space="preserve"> screening instrument (US); </w:t>
            </w:r>
            <w:r>
              <w:rPr>
                <w:rFonts w:ascii="Calibri" w:hAnsi="Calibri"/>
                <w:b/>
                <w:i w:val="0"/>
                <w:color w:val="1B2A32"/>
                <w:sz w:val="20"/>
              </w:rPr>
              <w:t>MIAM</w:t>
            </w:r>
            <w:r>
              <w:rPr>
                <w:rFonts w:ascii="Calibri" w:hAnsi="Calibri"/>
                <w:b w:val="0"/>
                <w:i w:val="0"/>
                <w:color w:val="1B2A32"/>
                <w:sz w:val="20"/>
              </w:rPr>
              <w:t xml:space="preserve"> and the Family Mediation Council accreditation &amp; mediation voucher scheme (England &amp; Wales); </w:t>
            </w:r>
            <w:r>
              <w:rPr>
                <w:rFonts w:ascii="Calibri" w:hAnsi="Calibri"/>
                <w:b/>
                <w:i w:val="0"/>
                <w:color w:val="1B2A32"/>
                <w:sz w:val="20"/>
              </w:rPr>
              <w:t>Section 60I</w:t>
            </w:r>
            <w:r>
              <w:rPr>
                <w:rFonts w:ascii="Calibri" w:hAnsi="Calibri"/>
                <w:b w:val="0"/>
                <w:i w:val="0"/>
                <w:color w:val="1B2A32"/>
                <w:sz w:val="20"/>
              </w:rPr>
              <w:t xml:space="preserve">, Family Law Act 1975 and Family Relationship Centres (Australia); </w:t>
            </w:r>
            <w:r>
              <w:rPr>
                <w:rFonts w:ascii="Calibri" w:hAnsi="Calibri"/>
                <w:b/>
                <w:i w:val="0"/>
                <w:color w:val="1B2A32"/>
                <w:sz w:val="20"/>
              </w:rPr>
              <w:t>Directive 2008/52/EC</w:t>
            </w:r>
            <w:r>
              <w:rPr>
                <w:rFonts w:ascii="Calibri" w:hAnsi="Calibri"/>
                <w:b w:val="0"/>
                <w:i w:val="0"/>
                <w:color w:val="1B2A32"/>
                <w:sz w:val="20"/>
              </w:rPr>
              <w:t xml:space="preserve"> (EU). Adapted to the Mediation Act, 2023 and the Family Courts Act, 1984.</w:t>
            </w:r>
          </w:p>
        </w:tc>
      </w:tr>
    </w:tbl>
    <w:p>
      <w:pPr>
        <w:spacing w:after="120"/>
      </w:pP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The most transferable idea is the </w:t>
            </w:r>
            <w:r>
              <w:rPr>
                <w:rFonts w:ascii="Calibri" w:hAnsi="Calibri"/>
                <w:b/>
                <w:i w:val="0"/>
                <w:color w:val="1B2A32"/>
                <w:sz w:val="20"/>
              </w:rPr>
              <w:t>certificate</w:t>
            </w:r>
            <w:r>
              <w:rPr>
                <w:rFonts w:ascii="Calibri" w:hAnsi="Calibri"/>
                <w:b w:val="0"/>
                <w:i w:val="0"/>
                <w:color w:val="1B2A32"/>
                <w:sz w:val="20"/>
              </w:rPr>
              <w:t>: like Australia's s.60I and England's MIAM certificate, Equator issues a record of a genuine, documented attempt at mediation — which Indian family courts (already obliged to attempt settlement) can rely on and which fits India's pre-litigation-mediation direction of travel.</w:t>
            </w:r>
          </w:p>
        </w:tc>
      </w:tr>
    </w:tbl>
    <w:p>
      <w:pPr>
        <w:spacing w:after="120"/>
      </w:pPr>
    </w:p>
    <w:p>
      <w:pPr>
        <w:keepNext/>
        <w:spacing w:before="320" w:after="140"/>
        <w:pBdr>
          <w:bottom w:val="single" w:sz="12" w:space="3" w:color="C6A15B"/>
        </w:pBdr>
      </w:pPr>
      <w:r>
        <w:rPr>
          <w:rFonts w:ascii="Calibri" w:hAnsi="Calibri"/>
          <w:b/>
          <w:i w:val="0"/>
          <w:color w:val="123B4F"/>
          <w:sz w:val="34"/>
        </w:rPr>
        <w:t>30.  Getting Both Parties to the Table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A mediation that never starts helps no one. The single biggest failure point is the other spouse not turning up. These practices — proven abroad — lift participation.</w:t>
            </w:r>
          </w:p>
        </w:tc>
      </w:tr>
    </w:tbl>
    <w:p>
      <w:pPr>
        <w:spacing w:after="120"/>
      </w:pPr>
    </w:p>
    <w:p>
      <w:pPr>
        <w:keepNext/>
        <w:spacing w:before="220" w:after="80"/>
      </w:pPr>
      <w:r>
        <w:rPr>
          <w:rFonts w:ascii="Calibri" w:hAnsi="Calibri"/>
          <w:b/>
          <w:i w:val="0"/>
          <w:color w:val="1E7A8C"/>
          <w:sz w:val="26"/>
        </w:rPr>
        <w:t>30.1   The convening call</w:t>
      </w:r>
    </w:p>
    <w:p>
      <w:pPr>
        <w:spacing w:after="140"/>
        <w:jc w:val="both"/>
      </w:pPr>
      <w:r>
        <w:rPr>
          <w:rFonts w:ascii="Calibri" w:hAnsi="Calibri"/>
          <w:b w:val="0"/>
          <w:i w:val="0"/>
          <w:color w:val="1B2A32"/>
          <w:sz w:val="21"/>
        </w:rPr>
        <w:t xml:space="preserve">Before the first session, the case manager holds a short, structured </w:t>
      </w:r>
      <w:r>
        <w:rPr>
          <w:rFonts w:ascii="Calibri" w:hAnsi="Calibri"/>
          <w:b/>
          <w:i w:val="0"/>
          <w:color w:val="1B2A32"/>
          <w:sz w:val="21"/>
        </w:rPr>
        <w:t>convening call</w:t>
      </w:r>
      <w:r>
        <w:rPr>
          <w:rFonts w:ascii="Calibri" w:hAnsi="Calibri"/>
          <w:b w:val="0"/>
          <w:i w:val="0"/>
          <w:color w:val="1B2A32"/>
          <w:sz w:val="21"/>
        </w:rPr>
        <w:t xml:space="preserve"> with each party separately: it explains the process, hears concerns, sets expectations, checks safety, and secures a commitment to attend. Convening is one of the most evidence-backed levers for reducing no-shows and early drop-out, and it doubles as the first safety touchpoint.</w:t>
      </w:r>
    </w:p>
    <w:p>
      <w:pPr>
        <w:keepNext/>
        <w:spacing w:before="220" w:after="80"/>
      </w:pPr>
      <w:r>
        <w:rPr>
          <w:rFonts w:ascii="Calibri" w:hAnsi="Calibri"/>
          <w:b/>
          <w:i w:val="0"/>
          <w:color w:val="1E7A8C"/>
          <w:sz w:val="26"/>
        </w:rPr>
        <w:t>30.2   Reaching a reluctant respondent</w:t>
      </w:r>
    </w:p>
    <w:p>
      <w:pPr>
        <w:spacing w:after="140"/>
        <w:jc w:val="both"/>
      </w:pPr>
      <w:r>
        <w:rPr>
          <w:rFonts w:ascii="Calibri" w:hAnsi="Calibri"/>
          <w:b w:val="0"/>
          <w:i w:val="0"/>
          <w:color w:val="1B2A32"/>
          <w:sz w:val="21"/>
        </w:rPr>
        <w:t>The invitation to the other spouse is framed as an opportunity, not a summons — neutral, non-accusatory, emphasising confidentiality, cost, speed and the chance to be heard. Where a spouse hesitates, a second, differently-framed outreach and the offer of a no-obligation information session often converts them. If they still decline, the Non-commencement Report (F-14) preserves the applicant's position.</w:t>
      </w:r>
    </w:p>
    <w:p>
      <w:pPr>
        <w:keepNext/>
        <w:spacing w:before="220" w:after="80"/>
      </w:pPr>
      <w:r>
        <w:rPr>
          <w:rFonts w:ascii="Calibri" w:hAnsi="Calibri"/>
          <w:b/>
          <w:i w:val="0"/>
          <w:color w:val="1E7A8C"/>
          <w:sz w:val="26"/>
        </w:rPr>
        <w:t>30.3   Court and Lok Adalat referral</w:t>
      </w:r>
    </w:p>
    <w:p>
      <w:pPr>
        <w:spacing w:after="140"/>
        <w:jc w:val="both"/>
      </w:pPr>
      <w:r>
        <w:rPr>
          <w:rFonts w:ascii="Calibri" w:hAnsi="Calibri"/>
          <w:b w:val="0"/>
          <w:i w:val="0"/>
          <w:color w:val="1B2A32"/>
          <w:sz w:val="21"/>
        </w:rPr>
        <w:t>Indian courts may refer disputes to mediation under Section 89 of the Code of Civil Procedure, and family courts are obliged to attempt settlement under Section 9 of the Family Courts Act, 1984; Lok Adalats offer a further settlement forum. Equator's court-integration (Part F) makes it easy for a judge to refer a matter and receive back either a registered settlement or a certificate of attempted mediation.</w:t>
      </w:r>
    </w:p>
    <w:p>
      <w:pPr>
        <w:keepNext/>
        <w:spacing w:before="320" w:after="140"/>
        <w:pBdr>
          <w:bottom w:val="single" w:sz="12" w:space="3" w:color="C6A15B"/>
        </w:pBdr>
      </w:pPr>
      <w:r>
        <w:rPr>
          <w:rFonts w:ascii="Calibri" w:hAnsi="Calibri"/>
          <w:b/>
          <w:i w:val="0"/>
          <w:color w:val="123B4F"/>
          <w:sz w:val="34"/>
        </w:rPr>
        <w:t>31.  Screening &amp; Suitability, Upgraded</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Not every case should be mediated, and safety must be assessed properly — not with a tick-box. Equator adopts a recognised screening approach used in the US and a structured information-and-suitability session used in the UK and Australia.</w:t>
            </w:r>
          </w:p>
        </w:tc>
      </w:tr>
    </w:tbl>
    <w:p>
      <w:pPr>
        <w:spacing w:after="120"/>
      </w:pPr>
    </w:p>
    <w:p>
      <w:pPr>
        <w:spacing w:after="140"/>
        <w:jc w:val="both"/>
      </w:pPr>
      <w:r>
        <w:rPr>
          <w:rFonts w:ascii="Calibri" w:hAnsi="Calibri"/>
          <w:b w:val="0"/>
          <w:i w:val="0"/>
          <w:color w:val="1B2A32"/>
          <w:sz w:val="21"/>
        </w:rPr>
        <w:t xml:space="preserve">Equator's intake upgrades the earlier triage in two ways. First, every matter begins with a </w:t>
      </w:r>
      <w:r>
        <w:rPr>
          <w:rFonts w:ascii="Calibri" w:hAnsi="Calibri"/>
          <w:b/>
          <w:i w:val="0"/>
          <w:color w:val="1B2A32"/>
          <w:sz w:val="21"/>
        </w:rPr>
        <w:t>Mediation Information &amp; Suitability Session (MISS)</w:t>
      </w:r>
      <w:r>
        <w:rPr>
          <w:rFonts w:ascii="Calibri" w:hAnsi="Calibri"/>
          <w:b w:val="0"/>
          <w:i w:val="0"/>
          <w:color w:val="1B2A32"/>
          <w:sz w:val="21"/>
        </w:rPr>
        <w:t xml:space="preserve"> — the Indian analogue of the MIAM/FDR intake — in which a trained neutral explains the process and assesses whether mediation is appropriate. Second, domestic-abuse and coercive-control screening follows a structured, evidence-based instrument (informed by </w:t>
      </w:r>
      <w:r>
        <w:rPr>
          <w:rFonts w:ascii="Calibri" w:hAnsi="Calibri"/>
          <w:b/>
          <w:i w:val="0"/>
          <w:color w:val="1B2A32"/>
          <w:sz w:val="21"/>
        </w:rPr>
        <w:t>MASIC</w:t>
      </w:r>
      <w:r>
        <w:rPr>
          <w:rFonts w:ascii="Calibri" w:hAnsi="Calibri"/>
          <w:b w:val="0"/>
          <w:i w:val="0"/>
          <w:color w:val="1B2A32"/>
          <w:sz w:val="21"/>
        </w:rPr>
        <w:t xml:space="preserve">, the Mediator's Assessment of Safety Issues and Concerns) rather than a simple checklist, is conducted </w:t>
      </w:r>
      <w:r>
        <w:rPr>
          <w:rFonts w:ascii="Calibri" w:hAnsi="Calibri"/>
          <w:b/>
          <w:i w:val="0"/>
          <w:color w:val="1B2A32"/>
          <w:sz w:val="21"/>
        </w:rPr>
        <w:t>separately with each party</w:t>
      </w:r>
      <w:r>
        <w:rPr>
          <w:rFonts w:ascii="Calibri" w:hAnsi="Calibri"/>
          <w:b w:val="0"/>
          <w:i w:val="0"/>
          <w:color w:val="1B2A32"/>
          <w:sz w:val="21"/>
        </w:rPr>
        <w:t xml:space="preserve">, and is </w:t>
      </w:r>
      <w:r>
        <w:rPr>
          <w:rFonts w:ascii="Calibri" w:hAnsi="Calibri"/>
          <w:b/>
          <w:i w:val="0"/>
          <w:color w:val="1B2A32"/>
          <w:sz w:val="21"/>
        </w:rPr>
        <w:t>repeated throughout</w:t>
      </w:r>
      <w:r>
        <w:rPr>
          <w:rFonts w:ascii="Calibri" w:hAnsi="Calibri"/>
          <w:b w:val="0"/>
          <w:i w:val="0"/>
          <w:color w:val="1B2A32"/>
          <w:sz w:val="21"/>
        </w:rPr>
        <w:t xml:space="preserve"> the process, consistent with the AFCC Model Standards. A </w:t>
      </w:r>
      <w:r>
        <w:rPr>
          <w:rFonts w:ascii="Calibri" w:hAnsi="Calibri"/>
          <w:b/>
          <w:i w:val="0"/>
          <w:color w:val="1B2A32"/>
          <w:sz w:val="21"/>
        </w:rPr>
        <w:t>capacity-to-mediate</w:t>
      </w:r>
      <w:r>
        <w:rPr>
          <w:rFonts w:ascii="Calibri" w:hAnsi="Calibri"/>
          <w:b w:val="0"/>
          <w:i w:val="0"/>
          <w:color w:val="1B2A32"/>
          <w:sz w:val="21"/>
        </w:rPr>
        <w:t xml:space="preserve"> assessment ensures each party can participate freely and with understanding; where they cannot, the matter is not mediated without a lawful representative. All of this is captured in the Intake Screening &amp; Suitability Assessment (Form F-26).</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 xml:space="preserve">Screening is decisive, not procedural. Where the assessment shows serious abuse, coercive control or a safety risk, the matter may be </w:t>
            </w:r>
            <w:r>
              <w:rPr>
                <w:rFonts w:ascii="Calibri" w:hAnsi="Calibri"/>
                <w:b/>
                <w:i w:val="0"/>
                <w:color w:val="1B2A32"/>
                <w:sz w:val="20"/>
              </w:rPr>
              <w:t>unsuitable for mediation</w:t>
            </w:r>
            <w:r>
              <w:rPr>
                <w:rFonts w:ascii="Calibri" w:hAnsi="Calibri"/>
                <w:b w:val="0"/>
                <w:i w:val="0"/>
                <w:color w:val="1B2A32"/>
                <w:sz w:val="20"/>
              </w:rPr>
              <w:t xml:space="preserve"> and is directed to the court — exactly as the AFCC standards and the s.60I/MIAM regimes contemplate. Abuse disclosures are never privileged.</w:t>
            </w:r>
          </w:p>
        </w:tc>
      </w:tr>
    </w:tbl>
    <w:p>
      <w:pPr>
        <w:spacing w:after="120"/>
      </w:pPr>
    </w:p>
    <w:p>
      <w:pPr>
        <w:keepNext/>
        <w:spacing w:before="320" w:after="140"/>
        <w:pBdr>
          <w:bottom w:val="single" w:sz="12" w:space="3" w:color="C6A15B"/>
        </w:pBdr>
      </w:pPr>
      <w:r>
        <w:rPr>
          <w:rFonts w:ascii="Calibri" w:hAnsi="Calibri"/>
          <w:b/>
          <w:i w:val="0"/>
          <w:color w:val="123B4F"/>
          <w:sz w:val="34"/>
        </w:rPr>
        <w:t>32.  Reaching Better Agreements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Good process produces durable deals. These tools move parties from fighting over positions to agreeing on fair, tested terms.</w:t>
            </w:r>
          </w:p>
        </w:tc>
      </w:tr>
    </w:tbl>
    <w:p>
      <w:pPr>
        <w:spacing w:after="120"/>
      </w:pPr>
    </w:p>
    <w:p>
      <w:pPr>
        <w:pStyle w:val="ListBullet"/>
        <w:spacing w:after="60"/>
        <w:jc w:val="both"/>
      </w:pPr>
      <w:r>
        <w:rPr>
          <w:rFonts w:ascii="Calibri" w:hAnsi="Calibri"/>
          <w:b/>
          <w:i w:val="0"/>
          <w:color w:val="123B4F"/>
          <w:sz w:val="21"/>
        </w:rPr>
        <w:t xml:space="preserve">Transparent maintenance calculator: </w:t>
      </w:r>
      <w:r>
        <w:rPr>
          <w:rFonts w:ascii="Calibri" w:hAnsi="Calibri"/>
          <w:b w:val="0"/>
          <w:i w:val="0"/>
          <w:color w:val="1B2A32"/>
          <w:sz w:val="21"/>
        </w:rPr>
        <w:t>A Rajnesh-v-Neha-factor tool that produces a defensible, capacity-capped range — depersonalising the number that causes the most conflict (delivered as a companion workbook).</w:t>
      </w:r>
    </w:p>
    <w:p>
      <w:pPr>
        <w:pStyle w:val="ListBullet"/>
        <w:spacing w:after="60"/>
        <w:jc w:val="both"/>
      </w:pPr>
      <w:r>
        <w:rPr>
          <w:rFonts w:ascii="Calibri" w:hAnsi="Calibri"/>
          <w:b/>
          <w:i w:val="0"/>
          <w:color w:val="123B4F"/>
          <w:sz w:val="21"/>
        </w:rPr>
        <w:t xml:space="preserve">BATNA / WATNA reality-testing: </w:t>
      </w:r>
      <w:r>
        <w:rPr>
          <w:rFonts w:ascii="Calibri" w:hAnsi="Calibri"/>
          <w:b w:val="0"/>
          <w:i w:val="0"/>
          <w:color w:val="1B2A32"/>
          <w:sz w:val="21"/>
        </w:rPr>
        <w:t>The mediator helps each party weigh their Best and Worst Alternative To a Negotiated Agreement — usually years of litigation — which realigns expectations.</w:t>
      </w:r>
    </w:p>
    <w:p>
      <w:pPr>
        <w:pStyle w:val="ListBullet"/>
        <w:spacing w:after="60"/>
        <w:jc w:val="both"/>
      </w:pPr>
      <w:r>
        <w:rPr>
          <w:rFonts w:ascii="Calibri" w:hAnsi="Calibri"/>
          <w:b/>
          <w:i w:val="0"/>
          <w:color w:val="123B4F"/>
          <w:sz w:val="21"/>
        </w:rPr>
        <w:t xml:space="preserve">Fit-for-purpose mediation model: </w:t>
      </w:r>
      <w:r>
        <w:rPr>
          <w:rFonts w:ascii="Calibri" w:hAnsi="Calibri"/>
          <w:b w:val="0"/>
          <w:i w:val="0"/>
          <w:color w:val="1B2A32"/>
          <w:sz w:val="21"/>
        </w:rPr>
        <w:t>Facilitative by default; evaluative input only where both parties ask for a neutral's read; co-mediation or a gender-balanced pair for sensitive matters.</w:t>
      </w:r>
    </w:p>
    <w:p>
      <w:pPr>
        <w:pStyle w:val="ListBullet"/>
        <w:spacing w:after="60"/>
        <w:jc w:val="both"/>
      </w:pPr>
      <w:r>
        <w:rPr>
          <w:rFonts w:ascii="Calibri" w:hAnsi="Calibri"/>
          <w:b/>
          <w:i w:val="0"/>
          <w:color w:val="123B4F"/>
          <w:sz w:val="21"/>
        </w:rPr>
        <w:t xml:space="preserve">Child-inclusive mediation: </w:t>
      </w:r>
      <w:r>
        <w:rPr>
          <w:rFonts w:ascii="Calibri" w:hAnsi="Calibri"/>
          <w:b w:val="0"/>
          <w:i w:val="0"/>
          <w:color w:val="1B2A32"/>
          <w:sz w:val="21"/>
        </w:rPr>
        <w:t>With parental consent and a child specialist, an age-appropriate way to bring the child's voice in (Form F-29) — the strongest driver of durable parenting plans, per UK and Australian practice.</w:t>
      </w:r>
    </w:p>
    <w:p>
      <w:pPr>
        <w:pStyle w:val="ListBullet"/>
        <w:spacing w:after="60"/>
        <w:jc w:val="both"/>
      </w:pPr>
      <w:r>
        <w:rPr>
          <w:rFonts w:ascii="Calibri" w:hAnsi="Calibri"/>
          <w:b/>
          <w:i w:val="0"/>
          <w:color w:val="123B4F"/>
          <w:sz w:val="21"/>
        </w:rPr>
        <w:t xml:space="preserve">Option generation in caucus: </w:t>
      </w:r>
      <w:r>
        <w:rPr>
          <w:rFonts w:ascii="Calibri" w:hAnsi="Calibri"/>
          <w:b w:val="0"/>
          <w:i w:val="0"/>
          <w:color w:val="1B2A32"/>
          <w:sz w:val="21"/>
        </w:rPr>
        <w:t>Structured brainstorming of packages (instalments, escrow milestones, review dates) that bridge trust gaps.</w:t>
      </w:r>
    </w:p>
    <w:p>
      <w:pPr>
        <w:spacing w:after="40"/>
      </w:pPr>
    </w:p>
    <w:p>
      <w:pPr>
        <w:keepNext/>
        <w:spacing w:before="320" w:after="140"/>
        <w:pBdr>
          <w:bottom w:val="single" w:sz="12" w:space="3" w:color="C6A15B"/>
        </w:pBdr>
      </w:pPr>
      <w:r>
        <w:rPr>
          <w:rFonts w:ascii="Calibri" w:hAnsi="Calibri"/>
          <w:b/>
          <w:i w:val="0"/>
          <w:color w:val="123B4F"/>
          <w:sz w:val="34"/>
        </w:rPr>
        <w:t>33.  Independent Advice, Cooling-Off &amp; the Integrity of Consent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A settlement is only safe if it was freely and knowingly made. Two safeguards make Equator's MSAs both fairer and harder to challenge.</w:t>
            </w:r>
          </w:p>
        </w:tc>
      </w:tr>
    </w:tbl>
    <w:p>
      <w:pPr>
        <w:spacing w:after="120"/>
      </w:pPr>
    </w:p>
    <w:p>
      <w:pPr>
        <w:spacing w:after="140"/>
        <w:jc w:val="both"/>
      </w:pPr>
      <w:r>
        <w:rPr>
          <w:rFonts w:ascii="Calibri" w:hAnsi="Calibri"/>
          <w:b w:val="0"/>
          <w:i w:val="0"/>
          <w:color w:val="1B2A32"/>
          <w:sz w:val="21"/>
        </w:rPr>
        <w:t xml:space="preserve">First, before signing the Mediated Settlement Agreement, each party is given the opportunity — and, for significant financial or custodial terms, is encouraged — to obtain </w:t>
      </w:r>
      <w:r>
        <w:rPr>
          <w:rFonts w:ascii="Calibri" w:hAnsi="Calibri"/>
          <w:b/>
          <w:i w:val="0"/>
          <w:color w:val="1B2A32"/>
          <w:sz w:val="21"/>
        </w:rPr>
        <w:t>Independent Legal Advice (ILA)</w:t>
      </w:r>
      <w:r>
        <w:rPr>
          <w:rFonts w:ascii="Calibri" w:hAnsi="Calibri"/>
          <w:b w:val="0"/>
          <w:i w:val="0"/>
          <w:color w:val="1B2A32"/>
          <w:sz w:val="21"/>
        </w:rPr>
        <w:t xml:space="preserve">, recorded in an ILA certificate (Form F-27). Second, the platform builds in a short </w:t>
      </w:r>
      <w:r>
        <w:rPr>
          <w:rFonts w:ascii="Calibri" w:hAnsi="Calibri"/>
          <w:b/>
          <w:i w:val="0"/>
          <w:color w:val="1B2A32"/>
          <w:sz w:val="21"/>
        </w:rPr>
        <w:t>cooling-off / reflection window</w:t>
      </w:r>
      <w:r>
        <w:rPr>
          <w:rFonts w:ascii="Calibri" w:hAnsi="Calibri"/>
          <w:b w:val="0"/>
          <w:i w:val="0"/>
          <w:color w:val="1B2A32"/>
          <w:sz w:val="21"/>
        </w:rPr>
        <w:t xml:space="preserve"> before an MSA becomes final, so no one signs under pressure in the emotion of the moment. Together these directly reduce the narrow grounds on which an MSA can be challenged under Section 28 of the Mediation Act — fraud, coercion and the like — and they mirror the protective instincts of the AFCC standards on informed consent.</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ILA + a cooling-off window are not friction for its own sake: they are the cheapest possible insurance against a later s.28 challenge, and they protect the more vulnerable party from a coerced bargain.</w:t>
            </w:r>
          </w:p>
        </w:tc>
      </w:tr>
    </w:tbl>
    <w:p>
      <w:pPr>
        <w:spacing w:after="120"/>
      </w:pPr>
    </w:p>
    <w:p>
      <w:pPr>
        <w:keepNext/>
        <w:spacing w:before="320" w:after="140"/>
        <w:pBdr>
          <w:bottom w:val="single" w:sz="12" w:space="3" w:color="C6A15B"/>
        </w:pBdr>
      </w:pPr>
      <w:r>
        <w:rPr>
          <w:rFonts w:ascii="Calibri" w:hAnsi="Calibri"/>
          <w:b/>
          <w:i w:val="0"/>
          <w:color w:val="123B4F"/>
          <w:sz w:val="34"/>
        </w:rPr>
        <w:t>34.  Durability: Breach, Variation &amp; Compliance Monitoring</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hardest problem in family ADR is not reaching a deal — it is making it stick. Equator treats the settlement as the beginning, not the end.</w:t>
            </w:r>
          </w:p>
        </w:tc>
      </w:tr>
    </w:tbl>
    <w:p>
      <w:pPr>
        <w:spacing w:after="120"/>
      </w:pPr>
    </w:p>
    <w:p>
      <w:pPr>
        <w:spacing w:after="140"/>
        <w:jc w:val="both"/>
      </w:pPr>
      <w:r>
        <w:rPr>
          <w:rFonts w:ascii="Calibri" w:hAnsi="Calibri"/>
          <w:b w:val="0"/>
          <w:i w:val="0"/>
          <w:color w:val="1B2A32"/>
          <w:sz w:val="21"/>
        </w:rPr>
        <w:t xml:space="preserve">Three mechanisms protect durability. A </w:t>
      </w:r>
      <w:r>
        <w:rPr>
          <w:rFonts w:ascii="Calibri" w:hAnsi="Calibri"/>
          <w:b/>
          <w:i w:val="0"/>
          <w:color w:val="1B2A32"/>
          <w:sz w:val="21"/>
        </w:rPr>
        <w:t>compliance-monitoring</w:t>
      </w:r>
      <w:r>
        <w:rPr>
          <w:rFonts w:ascii="Calibri" w:hAnsi="Calibri"/>
          <w:b w:val="0"/>
          <w:i w:val="0"/>
          <w:color w:val="1B2A32"/>
          <w:sz w:val="21"/>
        </w:rPr>
        <w:t xml:space="preserve"> capability tracks whether maintenance instalments are paid and whether the parenting schedule is honoured, flagging slippage early (delivered as a companion tracker). A </w:t>
      </w:r>
      <w:r>
        <w:rPr>
          <w:rFonts w:ascii="Calibri" w:hAnsi="Calibri"/>
          <w:b/>
          <w:i w:val="0"/>
          <w:color w:val="1B2A32"/>
          <w:sz w:val="21"/>
        </w:rPr>
        <w:t>return-to-mediation on breach</w:t>
      </w:r>
      <w:r>
        <w:rPr>
          <w:rFonts w:ascii="Calibri" w:hAnsi="Calibri"/>
          <w:b w:val="0"/>
          <w:i w:val="0"/>
          <w:color w:val="1B2A32"/>
          <w:sz w:val="21"/>
        </w:rPr>
        <w:t xml:space="preserve"> clause routes a default back to a quick mediated review before anyone runs to court for execution — cheaper, faster and less hostile. A </w:t>
      </w:r>
      <w:r>
        <w:rPr>
          <w:rFonts w:ascii="Calibri" w:hAnsi="Calibri"/>
          <w:b/>
          <w:i w:val="0"/>
          <w:color w:val="1B2A32"/>
          <w:sz w:val="21"/>
        </w:rPr>
        <w:t>variation</w:t>
      </w:r>
      <w:r>
        <w:rPr>
          <w:rFonts w:ascii="Calibri" w:hAnsi="Calibri"/>
          <w:b w:val="0"/>
          <w:i w:val="0"/>
          <w:color w:val="1B2A32"/>
          <w:sz w:val="21"/>
        </w:rPr>
        <w:t xml:space="preserve"> mechanism lets the parties revisit terms when circumstances genuinely change (a job loss, relocation, a child's changing needs), again through mediation first. And ongoing money — maintenance — can be </w:t>
      </w:r>
      <w:r>
        <w:rPr>
          <w:rFonts w:ascii="Calibri" w:hAnsi="Calibri"/>
          <w:b/>
          <w:i w:val="0"/>
          <w:color w:val="1B2A32"/>
          <w:sz w:val="21"/>
        </w:rPr>
        <w:t>escrow-backed</w:t>
      </w:r>
      <w:r>
        <w:rPr>
          <w:rFonts w:ascii="Calibri" w:hAnsi="Calibri"/>
          <w:b w:val="0"/>
          <w:i w:val="0"/>
          <w:color w:val="1B2A32"/>
          <w:sz w:val="21"/>
        </w:rPr>
        <w:t xml:space="preserve"> or standing-instruction-based, not left to monthly goodwill. Where a party simply refuses to comply, the registered MSA remains enforceable as a decree under Section 27.</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Enforceability: Mediation Act, 2023 s.27 (MSA enforceable as a decree). Variation of maintenance is recognised across the personal-law statutes and Section 144 BNSS. Breach, variation and return-to-mediation are captured as clauses in the Model Clause Library (Annexure E).</w:t>
            </w:r>
          </w:p>
        </w:tc>
      </w:tr>
    </w:tbl>
    <w:p>
      <w:pPr>
        <w:spacing w:after="120"/>
      </w:pPr>
    </w:p>
    <w:p>
      <w:pPr>
        <w:keepNext/>
        <w:spacing w:before="320" w:after="140"/>
        <w:pBdr>
          <w:bottom w:val="single" w:sz="12" w:space="3" w:color="C6A15B"/>
        </w:pBdr>
      </w:pPr>
      <w:r>
        <w:rPr>
          <w:rFonts w:ascii="Calibri" w:hAnsi="Calibri"/>
          <w:b/>
          <w:i w:val="0"/>
          <w:color w:val="123B4F"/>
          <w:sz w:val="34"/>
        </w:rPr>
        <w:t>35.  Measuring Resolution Quality &amp; Continuous Improvement</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Settlement rate alone is a vanity metric. What matters is whether settlements are fair, durable and good for children — and whether the institution learns from every case.</w:t>
            </w:r>
          </w:p>
        </w:tc>
      </w:tr>
    </w:tbl>
    <w:p>
      <w:pPr>
        <w:spacing w:after="120"/>
      </w:pP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Dimension</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7"/>
              </w:rPr>
              <w:t>Metric</w:t>
            </w:r>
          </w:p>
        </w:tc>
        <w:tc>
          <w:tcPr>
            <w:tcW w:type="dxa" w:w="3421"/>
            <w:shd w:val="clear" w:color="auto" w:fill="123B4F"/>
            <w:tcMar>
              <w:top w:w="60" w:type="dxa"/>
              <w:bottom w:w="60" w:type="dxa"/>
              <w:start w:w="110" w:type="dxa"/>
              <w:end w:w="110" w:type="dxa"/>
            </w:tcMar>
          </w:tcPr>
          <w:p>
            <w:pPr>
              <w:spacing w:after="0"/>
            </w:pPr>
            <w:r>
              <w:rPr>
                <w:rFonts w:ascii="Calibri" w:hAnsi="Calibri"/>
                <w:b/>
                <w:i w:val="0"/>
                <w:color w:val="FFFFFF"/>
                <w:sz w:val="17"/>
              </w:rPr>
              <w:t>Why it matters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Durability</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 of settlements with no breach or return within 12 months</w:t>
            </w:r>
          </w:p>
        </w:tc>
        <w:tc>
          <w:tcPr>
            <w:tcW w:type="dxa" w:w="3421"/>
            <w:tcMar>
              <w:top w:w="60" w:type="dxa"/>
              <w:bottom w:w="60" w:type="dxa"/>
              <w:start w:w="110" w:type="dxa"/>
              <w:end w:w="110" w:type="dxa"/>
            </w:tcMar>
          </w:tcPr>
          <w:p>
            <w:pPr>
              <w:spacing w:after="0"/>
              <w:jc w:val="left"/>
            </w:pPr>
            <w:r>
              <w:rPr>
                <w:rFonts w:ascii="Calibri" w:hAnsi="Calibri"/>
                <w:b w:val="0"/>
                <w:i w:val="0"/>
                <w:color w:val="1B2A32"/>
                <w:sz w:val="17"/>
              </w:rPr>
              <w:t>The truest test of a good settlement</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Compliance</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Maintenance paid on schedule; parenting plan honoured</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Detects default early; protects children &amp; payees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Finality</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Re-litigation rate; s.28 challenge rate</w:t>
            </w:r>
          </w:p>
        </w:tc>
        <w:tc>
          <w:tcPr>
            <w:tcW w:type="dxa" w:w="3421"/>
            <w:tcMar>
              <w:top w:w="60" w:type="dxa"/>
              <w:bottom w:w="60" w:type="dxa"/>
              <w:start w:w="110" w:type="dxa"/>
              <w:end w:w="110" w:type="dxa"/>
            </w:tcMar>
          </w:tcPr>
          <w:p>
            <w:pPr>
              <w:spacing w:after="0"/>
              <w:jc w:val="left"/>
            </w:pPr>
            <w:r>
              <w:rPr>
                <w:rFonts w:ascii="Calibri" w:hAnsi="Calibri"/>
                <w:b w:val="0"/>
                <w:i w:val="0"/>
                <w:color w:val="1B2A32"/>
                <w:sz w:val="17"/>
              </w:rPr>
              <w:t>Measures how well settlements hold in court</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Fairness</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Self-determination &amp; satisfaction scores (both parties)</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Guards against coerced or lopsided deals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Child welfare</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Parenting-plan adherence; child-inclusive uptake</w:t>
            </w:r>
          </w:p>
        </w:tc>
        <w:tc>
          <w:tcPr>
            <w:tcW w:type="dxa" w:w="3421"/>
            <w:tcMar>
              <w:top w:w="60" w:type="dxa"/>
              <w:bottom w:w="60" w:type="dxa"/>
              <w:start w:w="110" w:type="dxa"/>
              <w:end w:w="110" w:type="dxa"/>
            </w:tcMar>
          </w:tcPr>
          <w:p>
            <w:pPr>
              <w:spacing w:after="0"/>
              <w:jc w:val="left"/>
            </w:pPr>
            <w:r>
              <w:rPr>
                <w:rFonts w:ascii="Calibri" w:hAnsi="Calibri"/>
                <w:b w:val="0"/>
                <w:i w:val="0"/>
                <w:color w:val="1B2A32"/>
                <w:sz w:val="17"/>
              </w:rPr>
              <w:t>Keeps the child's interests central</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Access</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Participation rate; time-to-first-session; fee-waiver uptake</w:t>
            </w:r>
          </w:p>
        </w:tc>
        <w:tc>
          <w:tcPr>
            <w:tcW w:type="dxa" w:w="34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Measures reach and equity</w:t>
            </w:r>
          </w:p>
        </w:tc>
      </w:tr>
    </w:tbl>
    <w:p>
      <w:pPr>
        <w:spacing w:after="80"/>
      </w:pPr>
    </w:p>
    <w:p>
      <w:pPr>
        <w:spacing w:before="20" w:after="200"/>
        <w:jc w:val="center"/>
      </w:pPr>
      <w:r>
        <w:rPr>
          <w:rFonts w:ascii="Calibri" w:hAnsi="Calibri"/>
          <w:b w:val="0"/>
          <w:i/>
          <w:color w:val="556168"/>
          <w:sz w:val="17"/>
        </w:rPr>
        <w:t>Table — Resolution-quality metrics (beyond settlement rate).</w:t>
      </w:r>
    </w:p>
    <w:p>
      <w:pPr>
        <w:spacing w:after="140"/>
        <w:jc w:val="both"/>
      </w:pPr>
      <w:r>
        <w:rPr>
          <w:rFonts w:ascii="Calibri" w:hAnsi="Calibri"/>
          <w:b w:val="0"/>
          <w:i w:val="0"/>
          <w:color w:val="1B2A32"/>
          <w:sz w:val="21"/>
        </w:rPr>
        <w:t xml:space="preserve">These metrics feed a learning loop: an anonymised </w:t>
      </w:r>
      <w:r>
        <w:rPr>
          <w:rFonts w:ascii="Calibri" w:hAnsi="Calibri"/>
          <w:b/>
          <w:i w:val="0"/>
          <w:color w:val="1B2A32"/>
          <w:sz w:val="21"/>
        </w:rPr>
        <w:t>precedent and clause bank</w:t>
      </w:r>
      <w:r>
        <w:rPr>
          <w:rFonts w:ascii="Calibri" w:hAnsi="Calibri"/>
          <w:b w:val="0"/>
          <w:i w:val="0"/>
          <w:color w:val="1B2A32"/>
          <w:sz w:val="21"/>
        </w:rPr>
        <w:t xml:space="preserve"> grows from real settlements to speed future drafting; recurring sticking-points feed back into the taxonomy, forms and mediator training; and </w:t>
      </w:r>
      <w:r>
        <w:rPr>
          <w:rFonts w:ascii="Calibri" w:hAnsi="Calibri"/>
          <w:b/>
          <w:i w:val="0"/>
          <w:color w:val="1B2A32"/>
          <w:sz w:val="21"/>
        </w:rPr>
        <w:t>post-resolution support</w:t>
      </w:r>
      <w:r>
        <w:rPr>
          <w:rFonts w:ascii="Calibri" w:hAnsi="Calibri"/>
          <w:b w:val="0"/>
          <w:i w:val="0"/>
          <w:color w:val="1B2A32"/>
          <w:sz w:val="21"/>
        </w:rPr>
        <w:t xml:space="preserve"> — signposting to co-parenting resources and financial counselling — reduces relapse into conflict. Over time this is what turns Equator from a service into an institution with a measurable track record.</w:t>
      </w:r>
    </w:p>
    <w:p>
      <w:r>
        <w:br w:type="page"/>
      </w:r>
    </w:p>
    <w:p>
      <w:pPr>
        <w:spacing w:before="600" w:after="40"/>
      </w:pPr>
      <w:r>
        <w:rPr>
          <w:rFonts w:ascii="Calibri" w:hAnsi="Calibri"/>
          <w:b/>
          <w:i w:val="0"/>
          <w:color w:val="C6A15B"/>
          <w:sz w:val="26"/>
        </w:rPr>
        <w:t>PART F</w:t>
      </w:r>
    </w:p>
    <w:p>
      <w:pPr>
        <w:spacing w:after="200"/>
        <w:pBdr>
          <w:bottom w:val="single" w:sz="18" w:space="3" w:color="1E7A8C"/>
        </w:pBdr>
      </w:pPr>
      <w:r>
        <w:rPr>
          <w:rFonts w:ascii="Calibri" w:hAnsi="Calibri"/>
          <w:b/>
          <w:i w:val="0"/>
          <w:color w:val="123B4F"/>
          <w:sz w:val="46"/>
        </w:rPr>
        <w:t>Technology — AI, ODR, e-Sign, e-Stamp &amp; Court Integration</w:t>
      </w:r>
    </w:p>
    <w:p>
      <w:pPr>
        <w:keepNext/>
        <w:spacing w:before="320" w:after="140"/>
        <w:pBdr>
          <w:bottom w:val="single" w:sz="12" w:space="3" w:color="C6A15B"/>
        </w:pBdr>
      </w:pPr>
      <w:r>
        <w:rPr>
          <w:rFonts w:ascii="Calibri" w:hAnsi="Calibri"/>
          <w:b/>
          <w:i w:val="0"/>
          <w:color w:val="123B4F"/>
          <w:sz w:val="34"/>
        </w:rPr>
        <w:t>36.  The AI-Assisted Dispute Explorer</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Dispute Explorer is where a frightened, confused person first meets Equator. With an AI assistant behind it, it does far more than collect a form: it answers their questions — about the process, about their rights and remedies, and about whether their matter can even be mediated — in plain language and their own language, and it helps them put their case into words.</w:t>
            </w:r>
          </w:p>
        </w:tc>
      </w:tr>
    </w:tbl>
    <w:p>
      <w:pPr>
        <w:spacing w:after="120"/>
      </w:pPr>
    </w:p>
    <w:p>
      <w:pPr>
        <w:spacing w:after="140"/>
        <w:jc w:val="both"/>
      </w:pPr>
      <w:r>
        <w:rPr>
          <w:rFonts w:ascii="Calibri" w:hAnsi="Calibri"/>
          <w:b w:val="0"/>
          <w:i w:val="0"/>
          <w:color w:val="1B2A32"/>
          <w:sz w:val="21"/>
        </w:rPr>
        <w:t xml:space="preserve">The AI assistant turns the Dispute Explorer from a static intake form into a guided, conversational front door. It is grounded (retrieval-augmented) on two curated knowledge bases: Equator's own rules, procedure and fees; and the legal framework set out in this Blueprint (the personal laws, the Mediation Act, the DPDP Act and the leading judgments). It answers only from those sources, cites what it relied on, and hands off to a human case manager whenever the matter needs judgement. Critically, it </w:t>
      </w:r>
      <w:r>
        <w:rPr>
          <w:rFonts w:ascii="Calibri" w:hAnsi="Calibri"/>
          <w:b/>
          <w:i w:val="0"/>
          <w:color w:val="1B2A32"/>
          <w:sz w:val="21"/>
        </w:rPr>
        <w:t>informs, it does not advise</w:t>
      </w:r>
      <w:r>
        <w:rPr>
          <w:rFonts w:ascii="Calibri" w:hAnsi="Calibri"/>
          <w:b w:val="0"/>
          <w:i w:val="0"/>
          <w:color w:val="1B2A32"/>
          <w:sz w:val="21"/>
        </w:rPr>
        <w:t>: it explains options and law in general terms and consistently prompts the user to take independent legal advice before deciding.</w:t>
      </w:r>
    </w:p>
    <w:p>
      <w:pPr>
        <w:keepNext/>
        <w:spacing w:before="220" w:after="80"/>
      </w:pPr>
      <w:r>
        <w:rPr>
          <w:rFonts w:ascii="Calibri" w:hAnsi="Calibri"/>
          <w:b/>
          <w:i w:val="0"/>
          <w:color w:val="1E7A8C"/>
          <w:sz w:val="26"/>
        </w:rPr>
        <w:t>36.1   What the assistant does for a disputant</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Capability</w:t>
            </w:r>
          </w:p>
        </w:tc>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7"/>
              </w:rPr>
              <w:t>What it does</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Guardrail</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7"/>
              </w:rPr>
              <w:t>Procedure Q&amp;A</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Explains how Equator mediation works — steps, timelines, fees, escrow, confidentiality</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Answers from Equator's published rules only</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Remedies guidance</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Explains the remedies relevant to their dispute type and regime (e.g., maintenance, custody, streedhan, quashing)</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General information, not case-specific advice; prompts to consult a lawyer</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7"/>
              </w:rPr>
              <w:t>ADR-admissibility triage</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Assesses whether the matter is fit for mediation (s.6 &amp; First Schedule) — and flags what is not (e.g., only a heinous crime, a third-party-rights matter)</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Conservative; routes doubtful/excluded matters to a human &amp; to court</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Safety-aware intake</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Recognises safety red flags in what the user types and switches to the safety protocol</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Escalates to a human immediately; never mediates around a safety risk</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7"/>
              </w:rPr>
              <w:t>Drafting help</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Turns the user's plain-language account into a structured Statement of Claim (F-24) or Statement of Defence (F-25)</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Draft only; reviewed by the party and settled by counsel</w:t>
            </w:r>
          </w:p>
        </w:tc>
      </w:tr>
      <w:tr>
        <w:trPr>
          <w:trHeight w:val="0"/>
        </w:trPr>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Plain-language &amp; multilingual</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Explains legal concepts simply, in Hindi and regional languages</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Human review of translations for legal terms</w:t>
            </w:r>
          </w:p>
        </w:tc>
      </w:tr>
      <w:tr>
        <w:trPr>
          <w:trHeight w:val="0"/>
        </w:trPr>
        <w:tc>
          <w:tcPr>
            <w:tcW w:type="dxa" w:w="2091"/>
            <w:tcMar>
              <w:top w:w="60" w:type="dxa"/>
              <w:bottom w:w="60" w:type="dxa"/>
              <w:start w:w="110" w:type="dxa"/>
              <w:end w:w="110" w:type="dxa"/>
            </w:tcMar>
          </w:tcPr>
          <w:p>
            <w:pPr>
              <w:spacing w:after="0"/>
              <w:jc w:val="left"/>
            </w:pPr>
            <w:r>
              <w:rPr>
                <w:rFonts w:ascii="Calibri" w:hAnsi="Calibri"/>
                <w:b w:val="0"/>
                <w:i w:val="0"/>
                <w:color w:val="1B2A32"/>
                <w:sz w:val="17"/>
              </w:rPr>
              <w:t>Document summarisation</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Summarises uploaded orders/notices for the party</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Flags that summaries are indicative</w:t>
            </w:r>
          </w:p>
        </w:tc>
      </w:tr>
    </w:tbl>
    <w:p>
      <w:pPr>
        <w:spacing w:after="80"/>
      </w:pPr>
    </w:p>
    <w:p>
      <w:pPr>
        <w:spacing w:before="20" w:after="200"/>
        <w:jc w:val="center"/>
      </w:pPr>
      <w:r>
        <w:rPr>
          <w:rFonts w:ascii="Calibri" w:hAnsi="Calibri"/>
          <w:b w:val="0"/>
          <w:i/>
          <w:color w:val="556168"/>
          <w:sz w:val="17"/>
        </w:rPr>
        <w:t>Table — The AI assistant's disputant-facing capabilities, each with its guardrail.</w:t>
      </w:r>
    </w:p>
    <w:p>
      <w:pPr>
        <w:keepNext/>
        <w:spacing w:before="220" w:after="80"/>
      </w:pPr>
      <w:r>
        <w:rPr>
          <w:rFonts w:ascii="Calibri" w:hAnsi="Calibri"/>
          <w:b/>
          <w:i w:val="0"/>
          <w:color w:val="1E7A8C"/>
          <w:sz w:val="26"/>
        </w:rPr>
        <w:t>36.2   AI drafting of the Statement of Claim and Defence</w:t>
      </w:r>
    </w:p>
    <w:p>
      <w:pPr>
        <w:spacing w:after="140"/>
        <w:jc w:val="both"/>
      </w:pPr>
      <w:r>
        <w:rPr>
          <w:rFonts w:ascii="Calibri" w:hAnsi="Calibri"/>
          <w:b w:val="0"/>
          <w:i w:val="0"/>
          <w:color w:val="1B2A32"/>
          <w:sz w:val="21"/>
        </w:rPr>
        <w:t xml:space="preserve">The most tangible help the AI offers a self-represented party is </w:t>
      </w:r>
      <w:r>
        <w:rPr>
          <w:rFonts w:ascii="Calibri" w:hAnsi="Calibri"/>
          <w:b/>
          <w:i w:val="0"/>
          <w:color w:val="1B2A32"/>
          <w:sz w:val="21"/>
        </w:rPr>
        <w:t>drafting</w:t>
      </w:r>
      <w:r>
        <w:rPr>
          <w:rFonts w:ascii="Calibri" w:hAnsi="Calibri"/>
          <w:b w:val="0"/>
          <w:i w:val="0"/>
          <w:color w:val="1B2A32"/>
          <w:sz w:val="21"/>
        </w:rPr>
        <w:t xml:space="preserve">. Through a guided interview it elicits the facts — the marriage, the timeline, the issues, the relief sought — and assembles them into a clean, structured </w:t>
      </w:r>
      <w:r>
        <w:rPr>
          <w:rFonts w:ascii="Calibri" w:hAnsi="Calibri"/>
          <w:b/>
          <w:i w:val="0"/>
          <w:color w:val="1B2A32"/>
          <w:sz w:val="21"/>
        </w:rPr>
        <w:t>Statement of Claim</w:t>
      </w:r>
      <w:r>
        <w:rPr>
          <w:rFonts w:ascii="Calibri" w:hAnsi="Calibri"/>
          <w:b w:val="0"/>
          <w:i w:val="0"/>
          <w:color w:val="1B2A32"/>
          <w:sz w:val="21"/>
        </w:rPr>
        <w:t xml:space="preserve"> (Form F-24); for the respondent, it analyses the claim and helps build a paragraph-by-paragraph </w:t>
      </w:r>
      <w:r>
        <w:rPr>
          <w:rFonts w:ascii="Calibri" w:hAnsi="Calibri"/>
          <w:b/>
          <w:i w:val="0"/>
          <w:color w:val="1B2A32"/>
          <w:sz w:val="21"/>
        </w:rPr>
        <w:t>Statement of Defence</w:t>
      </w:r>
      <w:r>
        <w:rPr>
          <w:rFonts w:ascii="Calibri" w:hAnsi="Calibri"/>
          <w:b w:val="0"/>
          <w:i w:val="0"/>
          <w:color w:val="1B2A32"/>
          <w:sz w:val="21"/>
        </w:rPr>
        <w:t xml:space="preserve"> (Form F-25), suggesting the heads a response should address. The output is always a </w:t>
      </w:r>
      <w:r>
        <w:rPr>
          <w:rFonts w:ascii="Calibri" w:hAnsi="Calibri"/>
          <w:b/>
          <w:i w:val="0"/>
          <w:color w:val="1B2A32"/>
          <w:sz w:val="21"/>
        </w:rPr>
        <w:t>draft for the party to review and edit</w:t>
      </w:r>
      <w:r>
        <w:rPr>
          <w:rFonts w:ascii="Calibri" w:hAnsi="Calibri"/>
          <w:b w:val="0"/>
          <w:i w:val="0"/>
          <w:color w:val="1B2A32"/>
          <w:sz w:val="21"/>
        </w:rPr>
        <w:t>, clearly marked as not legal advice, and suitable for a lawyer to settle. This lowers the single biggest barrier for ordinary people — not knowing how to put their case — without ever substituting for professional advice.</w:t>
      </w:r>
    </w:p>
    <w:p>
      <w:pPr>
        <w:spacing w:before="80" w:after="40"/>
        <w:jc w:val="center"/>
      </w:pPr>
      <w:r>
        <w:drawing>
          <wp:inline xmlns:a="http://schemas.openxmlformats.org/drawingml/2006/main" xmlns:pic="http://schemas.openxmlformats.org/drawingml/2006/picture">
            <wp:extent cx="5852160" cy="3494251"/>
            <wp:docPr id="10" name="Picture 10"/>
            <wp:cNvGraphicFramePr>
              <a:graphicFrameLocks noChangeAspect="1"/>
            </wp:cNvGraphicFramePr>
            <a:graphic>
              <a:graphicData uri="http://schemas.openxmlformats.org/drawingml/2006/picture">
                <pic:pic>
                  <pic:nvPicPr>
                    <pic:cNvPr id="0" name="11_ai_dispute_explorer.png"/>
                    <pic:cNvPicPr/>
                  </pic:nvPicPr>
                  <pic:blipFill>
                    <a:blip r:embed="rId18"/>
                    <a:stretch>
                      <a:fillRect/>
                    </a:stretch>
                  </pic:blipFill>
                  <pic:spPr>
                    <a:xfrm>
                      <a:off x="0" y="0"/>
                      <a:ext cx="5852160" cy="3494251"/>
                    </a:xfrm>
                    <a:prstGeom prst="rect"/>
                  </pic:spPr>
                </pic:pic>
              </a:graphicData>
            </a:graphic>
          </wp:inline>
        </w:drawing>
      </w:r>
    </w:p>
    <w:p>
      <w:pPr>
        <w:spacing w:before="20" w:after="200"/>
        <w:jc w:val="center"/>
      </w:pPr>
      <w:r>
        <w:rPr>
          <w:rFonts w:ascii="Calibri" w:hAnsi="Calibri"/>
          <w:b w:val="0"/>
          <w:i/>
          <w:color w:val="556168"/>
          <w:sz w:val="17"/>
        </w:rPr>
        <w:t>Figure 11 — The AI-assisted Dispute Explorer: grounded answers, admissibility triage, drafting help, human handoff.</w:t>
      </w:r>
    </w:p>
    <w:p>
      <w:pPr>
        <w:keepNext/>
        <w:spacing w:before="220" w:after="80"/>
      </w:pPr>
      <w:r>
        <w:rPr>
          <w:rFonts w:ascii="Calibri" w:hAnsi="Calibri"/>
          <w:b/>
          <w:i w:val="0"/>
          <w:color w:val="1E7A8C"/>
          <w:sz w:val="26"/>
        </w:rPr>
        <w:t>36.3   Copilots for the mediator and case manager</w:t>
      </w:r>
    </w:p>
    <w:p>
      <w:pPr>
        <w:spacing w:after="140"/>
        <w:jc w:val="both"/>
      </w:pPr>
      <w:r>
        <w:rPr>
          <w:rFonts w:ascii="Calibri" w:hAnsi="Calibri"/>
          <w:b w:val="0"/>
          <w:i w:val="0"/>
          <w:color w:val="1B2A32"/>
          <w:sz w:val="21"/>
        </w:rPr>
        <w:t xml:space="preserve">The same AI, in a separate authenticated workspace, helps the professionals </w:t>
      </w:r>
      <w:r>
        <w:rPr>
          <w:rFonts w:ascii="Calibri" w:hAnsi="Calibri"/>
          <w:b/>
          <w:i w:val="0"/>
          <w:color w:val="1B2A32"/>
          <w:sz w:val="21"/>
        </w:rPr>
        <w:t>run proceedings</w:t>
      </w:r>
      <w:r>
        <w:rPr>
          <w:rFonts w:ascii="Calibri" w:hAnsi="Calibri"/>
          <w:b w:val="0"/>
          <w:i w:val="0"/>
          <w:color w:val="1B2A32"/>
          <w:sz w:val="21"/>
        </w:rPr>
        <w:t xml:space="preserve">. For the </w:t>
      </w:r>
      <w:r>
        <w:rPr>
          <w:rFonts w:ascii="Calibri" w:hAnsi="Calibri"/>
          <w:b/>
          <w:i w:val="0"/>
          <w:color w:val="1B2A32"/>
          <w:sz w:val="21"/>
        </w:rPr>
        <w:t>case manager</w:t>
      </w:r>
      <w:r>
        <w:rPr>
          <w:rFonts w:ascii="Calibri" w:hAnsi="Calibri"/>
          <w:b w:val="0"/>
          <w:i w:val="0"/>
          <w:color w:val="1B2A32"/>
          <w:sz w:val="21"/>
        </w:rPr>
        <w:t xml:space="preserve"> it drafts notices and correspondence, tracks the statutory clock and SLA deadlines, runs first-pass conflict checks, and prepares the document bundle. For the </w:t>
      </w:r>
      <w:r>
        <w:rPr>
          <w:rFonts w:ascii="Calibri" w:hAnsi="Calibri"/>
          <w:b/>
          <w:i w:val="0"/>
          <w:color w:val="1B2A32"/>
          <w:sz w:val="21"/>
        </w:rPr>
        <w:t>mediator</w:t>
      </w:r>
      <w:r>
        <w:rPr>
          <w:rFonts w:ascii="Calibri" w:hAnsi="Calibri"/>
          <w:b w:val="0"/>
          <w:i w:val="0"/>
          <w:color w:val="1B2A32"/>
          <w:sz w:val="21"/>
        </w:rPr>
        <w:t xml:space="preserve"> it produces draft session minutes and summaries, suggests MSA clauses from the Model Clause Library tuned to the agreed terms, translates in real time, and surfaces the relevant law for the issues in play. Every AI output for professionals is a </w:t>
      </w:r>
      <w:r>
        <w:rPr>
          <w:rFonts w:ascii="Calibri" w:hAnsi="Calibri"/>
          <w:b/>
          <w:i w:val="0"/>
          <w:color w:val="1B2A32"/>
          <w:sz w:val="21"/>
        </w:rPr>
        <w:t>draft under human control</w:t>
      </w:r>
      <w:r>
        <w:rPr>
          <w:rFonts w:ascii="Calibri" w:hAnsi="Calibri"/>
          <w:b w:val="0"/>
          <w:i w:val="0"/>
          <w:color w:val="1B2A32"/>
          <w:sz w:val="21"/>
        </w:rPr>
        <w:t>: the mediator and case manager remain responsible, and the AI never decides anything or contacts a party unsupervised.</w:t>
      </w:r>
    </w:p>
    <w:p>
      <w:pPr>
        <w:keepNext/>
        <w:spacing w:before="320" w:after="140"/>
        <w:pBdr>
          <w:bottom w:val="single" w:sz="12" w:space="3" w:color="C6A15B"/>
        </w:pBdr>
      </w:pPr>
      <w:r>
        <w:rPr>
          <w:rFonts w:ascii="Calibri" w:hAnsi="Calibri"/>
          <w:b/>
          <w:i w:val="0"/>
          <w:color w:val="123B4F"/>
          <w:sz w:val="34"/>
        </w:rPr>
        <w:t>37.  AI Governance, Guardrails &amp; Data Protection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Powerful help in a sensitive, legal setting needs firm rails. These are non-negotiable design rules for any AI on the platform.</w:t>
            </w:r>
          </w:p>
        </w:tc>
      </w:tr>
    </w:tbl>
    <w:p>
      <w:pPr>
        <w:spacing w:after="120"/>
      </w:pPr>
    </w:p>
    <w:p>
      <w:pPr>
        <w:pStyle w:val="ListBullet"/>
        <w:spacing w:after="60"/>
        <w:jc w:val="both"/>
      </w:pPr>
      <w:r>
        <w:rPr>
          <w:rFonts w:ascii="Calibri" w:hAnsi="Calibri"/>
          <w:b/>
          <w:i w:val="0"/>
          <w:color w:val="123B4F"/>
          <w:sz w:val="21"/>
        </w:rPr>
        <w:t xml:space="preserve">Information, not legal advice: </w:t>
      </w:r>
      <w:r>
        <w:rPr>
          <w:rFonts w:ascii="Calibri" w:hAnsi="Calibri"/>
          <w:b w:val="0"/>
          <w:i w:val="0"/>
          <w:color w:val="1B2A32"/>
          <w:sz w:val="21"/>
        </w:rPr>
        <w:t>The AI gives general legal information and process guidance and always directs users to independent counsel for decisions — staying clear of the unauthorised practice of law.</w:t>
      </w:r>
    </w:p>
    <w:p>
      <w:pPr>
        <w:pStyle w:val="ListBullet"/>
        <w:spacing w:after="60"/>
        <w:jc w:val="both"/>
      </w:pPr>
      <w:r>
        <w:rPr>
          <w:rFonts w:ascii="Calibri" w:hAnsi="Calibri"/>
          <w:b/>
          <w:i w:val="0"/>
          <w:color w:val="123B4F"/>
          <w:sz w:val="21"/>
        </w:rPr>
        <w:t xml:space="preserve">Human-in-the-loop: </w:t>
      </w:r>
      <w:r>
        <w:rPr>
          <w:rFonts w:ascii="Calibri" w:hAnsi="Calibri"/>
          <w:b w:val="0"/>
          <w:i w:val="0"/>
          <w:color w:val="1B2A32"/>
          <w:sz w:val="21"/>
        </w:rPr>
        <w:t>Every draft (claim, defence, minutes, MSA clauses, notices) is reviewed and owned by a human; the AI proposes, people decide.</w:t>
      </w:r>
    </w:p>
    <w:p>
      <w:pPr>
        <w:pStyle w:val="ListBullet"/>
        <w:spacing w:after="60"/>
        <w:jc w:val="both"/>
      </w:pPr>
      <w:r>
        <w:rPr>
          <w:rFonts w:ascii="Calibri" w:hAnsi="Calibri"/>
          <w:b/>
          <w:i w:val="0"/>
          <w:color w:val="123B4F"/>
          <w:sz w:val="21"/>
        </w:rPr>
        <w:t xml:space="preserve">Neutrality preserved: </w:t>
      </w:r>
      <w:r>
        <w:rPr>
          <w:rFonts w:ascii="Calibri" w:hAnsi="Calibri"/>
          <w:b w:val="0"/>
          <w:i w:val="0"/>
          <w:color w:val="1B2A32"/>
          <w:sz w:val="21"/>
        </w:rPr>
        <w:t>The assistant helps both parties equally and never strategises to advantage one against the other; it will not coach a party to defeat the other.</w:t>
      </w:r>
    </w:p>
    <w:p>
      <w:pPr>
        <w:pStyle w:val="ListBullet"/>
        <w:spacing w:after="60"/>
        <w:jc w:val="both"/>
      </w:pPr>
      <w:r>
        <w:rPr>
          <w:rFonts w:ascii="Calibri" w:hAnsi="Calibri"/>
          <w:b/>
          <w:i w:val="0"/>
          <w:color w:val="123B4F"/>
          <w:sz w:val="21"/>
        </w:rPr>
        <w:t xml:space="preserve">Grounded &amp; cited: </w:t>
      </w:r>
      <w:r>
        <w:rPr>
          <w:rFonts w:ascii="Calibri" w:hAnsi="Calibri"/>
          <w:b w:val="0"/>
          <w:i w:val="0"/>
          <w:color w:val="1B2A32"/>
          <w:sz w:val="21"/>
        </w:rPr>
        <w:t>Answers are retrieval-augmented over Equator's rules and this Blueprint's legal base, with citations; the system is tuned to refuse or defer rather than guess (hallucination control).</w:t>
      </w:r>
    </w:p>
    <w:p>
      <w:pPr>
        <w:pStyle w:val="ListBullet"/>
        <w:spacing w:after="60"/>
        <w:jc w:val="both"/>
      </w:pPr>
      <w:r>
        <w:rPr>
          <w:rFonts w:ascii="Calibri" w:hAnsi="Calibri"/>
          <w:b/>
          <w:i w:val="0"/>
          <w:color w:val="123B4F"/>
          <w:sz w:val="21"/>
        </w:rPr>
        <w:t xml:space="preserve">Confidential by design: </w:t>
      </w:r>
      <w:r>
        <w:rPr>
          <w:rFonts w:ascii="Calibri" w:hAnsi="Calibri"/>
          <w:b w:val="0"/>
          <w:i w:val="0"/>
          <w:color w:val="1B2A32"/>
          <w:sz w:val="21"/>
        </w:rPr>
        <w:t>The AI sits inside the mediation confidentiality wall (s.22) and the caucus wall — one party's private inputs are never exposed to the other.</w:t>
      </w:r>
    </w:p>
    <w:p>
      <w:pPr>
        <w:pStyle w:val="ListBullet"/>
        <w:spacing w:after="60"/>
        <w:jc w:val="both"/>
      </w:pPr>
      <w:r>
        <w:rPr>
          <w:rFonts w:ascii="Calibri" w:hAnsi="Calibri"/>
          <w:b/>
          <w:i w:val="0"/>
          <w:color w:val="123B4F"/>
          <w:sz w:val="21"/>
        </w:rPr>
        <w:t xml:space="preserve">DPDP-compliant: </w:t>
      </w:r>
      <w:r>
        <w:rPr>
          <w:rFonts w:ascii="Calibri" w:hAnsi="Calibri"/>
          <w:b w:val="0"/>
          <w:i w:val="0"/>
          <w:color w:val="1B2A32"/>
          <w:sz w:val="21"/>
        </w:rPr>
        <w:t>Explicit consent for AI processing; data minimisation; no training on personal data without consent; full audit logs; children's data handled with heightened care.</w:t>
      </w:r>
    </w:p>
    <w:p>
      <w:pPr>
        <w:pStyle w:val="ListBullet"/>
        <w:spacing w:after="60"/>
        <w:jc w:val="both"/>
      </w:pPr>
      <w:r>
        <w:rPr>
          <w:rFonts w:ascii="Calibri" w:hAnsi="Calibri"/>
          <w:b/>
          <w:i w:val="0"/>
          <w:color w:val="123B4F"/>
          <w:sz w:val="21"/>
        </w:rPr>
        <w:t xml:space="preserve">Transparent: </w:t>
      </w:r>
      <w:r>
        <w:rPr>
          <w:rFonts w:ascii="Calibri" w:hAnsi="Calibri"/>
          <w:b w:val="0"/>
          <w:i w:val="0"/>
          <w:color w:val="1B2A32"/>
          <w:sz w:val="21"/>
        </w:rPr>
        <w:t>Users are told when they are interacting with AI, and can reach a human at any point.</w:t>
      </w:r>
    </w:p>
    <w:p>
      <w:pPr>
        <w:pStyle w:val="ListBullet"/>
        <w:spacing w:after="60"/>
        <w:jc w:val="both"/>
      </w:pPr>
      <w:r>
        <w:rPr>
          <w:rFonts w:ascii="Calibri" w:hAnsi="Calibri"/>
          <w:b/>
          <w:i w:val="0"/>
          <w:color w:val="123B4F"/>
          <w:sz w:val="21"/>
        </w:rPr>
        <w:t xml:space="preserve">Bias-tested &amp; monitored: </w:t>
      </w:r>
      <w:r>
        <w:rPr>
          <w:rFonts w:ascii="Calibri" w:hAnsi="Calibri"/>
          <w:b w:val="0"/>
          <w:i w:val="0"/>
          <w:color w:val="1B2A32"/>
          <w:sz w:val="21"/>
        </w:rPr>
        <w:t>Models are evaluated for fairness across gender, religion, language and region, with human escalation paths and ongoing monitoring.</w:t>
      </w:r>
    </w:p>
    <w:p>
      <w:pPr>
        <w:spacing w:after="4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The gravest AI risks in this domain are giving disguised legal advice, breaching a caucus confidence, and a confident wrong answer to a distressed person. The guardrails above target exactly these; where the AI is unsure, its default is to defer to a human, not to improvise.</w:t>
            </w:r>
          </w:p>
        </w:tc>
      </w:tr>
    </w:tbl>
    <w:p>
      <w:pPr>
        <w:spacing w:after="120"/>
      </w:pPr>
    </w:p>
    <w:p>
      <w:pPr>
        <w:keepNext/>
        <w:spacing w:before="320" w:after="140"/>
        <w:pBdr>
          <w:bottom w:val="single" w:sz="12" w:space="3" w:color="C6A15B"/>
        </w:pBdr>
      </w:pPr>
      <w:r>
        <w:rPr>
          <w:rFonts w:ascii="Calibri" w:hAnsi="Calibri"/>
          <w:b/>
          <w:i w:val="0"/>
          <w:color w:val="123B4F"/>
          <w:sz w:val="34"/>
        </w:rPr>
        <w:t>38.  Online Dispute Resolution (ODR)</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whole matter can run online — from filing to signed settlement — so distance, cost and travel stop being barriers. This is especially powerful for NRIs and for anyone who cannot safely be in the same room.</w:t>
            </w:r>
          </w:p>
        </w:tc>
      </w:tr>
    </w:tbl>
    <w:p>
      <w:pPr>
        <w:spacing w:after="120"/>
      </w:pPr>
    </w:p>
    <w:p>
      <w:pPr>
        <w:spacing w:after="140"/>
        <w:jc w:val="both"/>
      </w:pPr>
      <w:r>
        <w:rPr>
          <w:rFonts w:ascii="Calibri" w:hAnsi="Calibri"/>
          <w:b w:val="0"/>
          <w:i w:val="0"/>
          <w:color w:val="1B2A32"/>
          <w:sz w:val="21"/>
        </w:rPr>
        <w:t xml:space="preserve">Equator is ODR-native. It supports both </w:t>
      </w:r>
      <w:r>
        <w:rPr>
          <w:rFonts w:ascii="Calibri" w:hAnsi="Calibri"/>
          <w:b/>
          <w:i w:val="0"/>
          <w:color w:val="1B2A32"/>
          <w:sz w:val="21"/>
        </w:rPr>
        <w:t>asynchronous</w:t>
      </w:r>
      <w:r>
        <w:rPr>
          <w:rFonts w:ascii="Calibri" w:hAnsi="Calibri"/>
          <w:b w:val="0"/>
          <w:i w:val="0"/>
          <w:color w:val="1B2A32"/>
          <w:sz w:val="21"/>
        </w:rPr>
        <w:t xml:space="preserve"> resolution (secure messaging, structured offer-and-counter exchanges, and document sharing on the parties' own schedule) and </w:t>
      </w:r>
      <w:r>
        <w:rPr>
          <w:rFonts w:ascii="Calibri" w:hAnsi="Calibri"/>
          <w:b/>
          <w:i w:val="0"/>
          <w:color w:val="1B2A32"/>
          <w:sz w:val="21"/>
        </w:rPr>
        <w:t>synchronous</w:t>
      </w:r>
      <w:r>
        <w:rPr>
          <w:rFonts w:ascii="Calibri" w:hAnsi="Calibri"/>
          <w:b w:val="0"/>
          <w:i w:val="0"/>
          <w:color w:val="1B2A32"/>
          <w:sz w:val="21"/>
        </w:rPr>
        <w:t xml:space="preserve"> sessions (secure video hearings with a waiting room, screen sharing and </w:t>
      </w:r>
      <w:r>
        <w:rPr>
          <w:rFonts w:ascii="Calibri" w:hAnsi="Calibri"/>
          <w:b/>
          <w:i w:val="0"/>
          <w:color w:val="1B2A32"/>
          <w:sz w:val="21"/>
        </w:rPr>
        <w:t>private breakout rooms for caucus</w:t>
      </w:r>
      <w:r>
        <w:rPr>
          <w:rFonts w:ascii="Calibri" w:hAnsi="Calibri"/>
          <w:b w:val="0"/>
          <w:i w:val="0"/>
          <w:color w:val="1B2A32"/>
          <w:sz w:val="21"/>
        </w:rPr>
        <w:t xml:space="preserve">, with consent-based recording per Form F-20). A secure, permissioned </w:t>
      </w:r>
      <w:r>
        <w:rPr>
          <w:rFonts w:ascii="Calibri" w:hAnsi="Calibri"/>
          <w:b/>
          <w:i w:val="0"/>
          <w:color w:val="1B2A32"/>
          <w:sz w:val="21"/>
        </w:rPr>
        <w:t>case room</w:t>
      </w:r>
      <w:r>
        <w:rPr>
          <w:rFonts w:ascii="Calibri" w:hAnsi="Calibri"/>
          <w:b w:val="0"/>
          <w:i w:val="0"/>
          <w:color w:val="1B2A32"/>
          <w:sz w:val="21"/>
        </w:rPr>
        <w:t xml:space="preserve"> holds the filings, the document bundle, the calendar and the settlement, with least-privilege access and a tamper-evident audit trail. The design follows international ODR good practice — fairness, transparency, security, accessibility and independence — and India's own policy push for ODR, while remaining fully within the Mediation Act's process. Low-bandwidth and mobile-first modes, and assisted (tele-)intake, keep it accessible across India.</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Alignment: the </w:t>
            </w:r>
            <w:r>
              <w:rPr>
                <w:rFonts w:ascii="Calibri" w:hAnsi="Calibri"/>
                <w:b/>
                <w:i w:val="0"/>
                <w:color w:val="1B2A32"/>
                <w:sz w:val="20"/>
              </w:rPr>
              <w:t>UNCITRAL Technical Notes on Online Dispute Resolution (2016)</w:t>
            </w:r>
            <w:r>
              <w:rPr>
                <w:rFonts w:ascii="Calibri" w:hAnsi="Calibri"/>
                <w:b w:val="0"/>
                <w:i w:val="0"/>
                <w:color w:val="1B2A32"/>
                <w:sz w:val="20"/>
              </w:rPr>
              <w:t xml:space="preserve"> and the NITI Aayog policy push for ODR in India inform the design; the process itself remains governed by the Mediation Act, 2023 and the confidentiality and safety rules in Parts B–E.</w:t>
            </w:r>
          </w:p>
        </w:tc>
      </w:tr>
    </w:tbl>
    <w:p>
      <w:pPr>
        <w:spacing w:after="120"/>
      </w:pPr>
    </w:p>
    <w:p>
      <w:pPr>
        <w:keepNext/>
        <w:spacing w:before="320" w:after="140"/>
        <w:pBdr>
          <w:bottom w:val="single" w:sz="12" w:space="3" w:color="C6A15B"/>
        </w:pBdr>
      </w:pPr>
      <w:r>
        <w:rPr>
          <w:rFonts w:ascii="Calibri" w:hAnsi="Calibri"/>
          <w:b/>
          <w:i w:val="0"/>
          <w:color w:val="123B4F"/>
          <w:sz w:val="34"/>
        </w:rPr>
        <w:t>39.  Paperless Filing &amp; e-Signature</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Parties submit their papers online and sign them digitally — no printing, no courier, legally valid.</w:t>
            </w:r>
          </w:p>
        </w:tc>
      </w:tr>
    </w:tbl>
    <w:p>
      <w:pPr>
        <w:spacing w:after="120"/>
      </w:pPr>
    </w:p>
    <w:p>
      <w:pPr>
        <w:spacing w:after="140"/>
        <w:jc w:val="both"/>
      </w:pPr>
      <w:r>
        <w:rPr>
          <w:rFonts w:ascii="Calibri" w:hAnsi="Calibri"/>
          <w:b w:val="0"/>
          <w:i w:val="0"/>
          <w:color w:val="1B2A32"/>
          <w:sz w:val="21"/>
        </w:rPr>
        <w:t xml:space="preserve">Every form and filing in this Blueprint can be completed and submitted online and executed with a legally recognised </w:t>
      </w:r>
      <w:r>
        <w:rPr>
          <w:rFonts w:ascii="Calibri" w:hAnsi="Calibri"/>
          <w:b/>
          <w:i w:val="0"/>
          <w:color w:val="1B2A32"/>
          <w:sz w:val="21"/>
        </w:rPr>
        <w:t>electronic signature</w:t>
      </w:r>
      <w:r>
        <w:rPr>
          <w:rFonts w:ascii="Calibri" w:hAnsi="Calibri"/>
          <w:b w:val="0"/>
          <w:i w:val="0"/>
          <w:color w:val="1B2A32"/>
          <w:sz w:val="21"/>
        </w:rPr>
        <w:t xml:space="preserve">. India's Information Technology Act, 2000 recognises electronic signatures, and </w:t>
      </w:r>
      <w:r>
        <w:rPr>
          <w:rFonts w:ascii="Calibri" w:hAnsi="Calibri"/>
          <w:b/>
          <w:i w:val="0"/>
          <w:color w:val="1B2A32"/>
          <w:sz w:val="21"/>
        </w:rPr>
        <w:t>Aadhaar-based eSign</w:t>
      </w:r>
      <w:r>
        <w:rPr>
          <w:rFonts w:ascii="Calibri" w:hAnsi="Calibri"/>
          <w:b w:val="0"/>
          <w:i w:val="0"/>
          <w:color w:val="1B2A32"/>
          <w:sz w:val="21"/>
        </w:rPr>
        <w:t xml:space="preserve"> (inserted into the Second Schedule under Section 3A, delivered through licensed providers such as NSDL and CDAC) and </w:t>
      </w:r>
      <w:r>
        <w:rPr>
          <w:rFonts w:ascii="Calibri" w:hAnsi="Calibri"/>
          <w:b/>
          <w:i w:val="0"/>
          <w:color w:val="1B2A32"/>
          <w:sz w:val="21"/>
        </w:rPr>
        <w:t>Digital Signature Certificates (DSC)</w:t>
      </w:r>
      <w:r>
        <w:rPr>
          <w:rFonts w:ascii="Calibri" w:hAnsi="Calibri"/>
          <w:b w:val="0"/>
          <w:i w:val="0"/>
          <w:color w:val="1B2A32"/>
          <w:sz w:val="21"/>
        </w:rPr>
        <w:t xml:space="preserve"> give the Request for Mediation, the Response, the Agreement to Mediate, the Statement of Claim/Defence and the MSA the same standing as wet-ink signatures. Each e-signed document carries an audit trail (signer identity, timestamp, document hash) and, being electronic evidence, is produced in court with a </w:t>
      </w:r>
      <w:r>
        <w:rPr>
          <w:rFonts w:ascii="Calibri" w:hAnsi="Calibri"/>
          <w:b/>
          <w:i w:val="0"/>
          <w:color w:val="1B2A32"/>
          <w:sz w:val="21"/>
        </w:rPr>
        <w:t>Section 65B</w:t>
      </w:r>
      <w:r>
        <w:rPr>
          <w:rFonts w:ascii="Calibri" w:hAnsi="Calibri"/>
          <w:b w:val="0"/>
          <w:i w:val="0"/>
          <w:color w:val="1B2A32"/>
          <w:sz w:val="21"/>
        </w:rPr>
        <w:t xml:space="preserve"> certificate. NRIs sign remotely with identity verified by video.</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LEGAL BASIS</w:t>
            </w:r>
          </w:p>
          <w:p>
            <w:pPr>
              <w:jc w:val="both"/>
            </w:pPr>
            <w:r>
              <w:rPr>
                <w:rFonts w:ascii="Calibri" w:hAnsi="Calibri"/>
                <w:b w:val="0"/>
                <w:i w:val="0"/>
                <w:color w:val="1B2A32"/>
                <w:sz w:val="20"/>
              </w:rPr>
              <w:t xml:space="preserve">Legal basis: Information Technology Act, 2000 — s.3A and the Second Schedule (Aadhaar eSign as a recognised electronic signature); electronic signatures regulated by the Controller of Certifying Authorities; </w:t>
            </w:r>
            <w:r>
              <w:rPr>
                <w:rFonts w:ascii="Calibri" w:hAnsi="Calibri"/>
                <w:b/>
                <w:i w:val="0"/>
                <w:color w:val="1B2A32"/>
                <w:sz w:val="20"/>
              </w:rPr>
              <w:t>Section 65B, Indian Evidence Act / Bharatiya Sakshya Adhiniyam, 2023</w:t>
            </w:r>
            <w:r>
              <w:rPr>
                <w:rFonts w:ascii="Calibri" w:hAnsi="Calibri"/>
                <w:b w:val="0"/>
                <w:i w:val="0"/>
                <w:color w:val="1B2A32"/>
                <w:sz w:val="20"/>
              </w:rPr>
              <w:t xml:space="preserve"> for admissibility of electronic records.</w:t>
            </w:r>
          </w:p>
        </w:tc>
      </w:tr>
    </w:tbl>
    <w:p>
      <w:pPr>
        <w:spacing w:after="120"/>
      </w:pPr>
    </w:p>
    <w:p>
      <w:pPr>
        <w:keepNext/>
        <w:spacing w:before="320" w:after="140"/>
        <w:pBdr>
          <w:bottom w:val="single" w:sz="12" w:space="3" w:color="C6A15B"/>
        </w:pBdr>
      </w:pPr>
      <w:r>
        <w:rPr>
          <w:rFonts w:ascii="Calibri" w:hAnsi="Calibri"/>
          <w:b/>
          <w:i w:val="0"/>
          <w:color w:val="123B4F"/>
          <w:sz w:val="34"/>
        </w:rPr>
        <w:t>40.  On-Platform Settlement Execution: e-Stamp &amp; Registration</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The settlement is stamped and made enforceable within the platform — no trip to a stamp vendor or sub-registrar for the routine steps.</w:t>
            </w:r>
          </w:p>
        </w:tc>
      </w:tr>
    </w:tbl>
    <w:p>
      <w:pPr>
        <w:spacing w:after="120"/>
      </w:pPr>
    </w:p>
    <w:p>
      <w:pPr>
        <w:spacing w:after="140"/>
        <w:jc w:val="both"/>
      </w:pPr>
      <w:r>
        <w:rPr>
          <w:rFonts w:ascii="Calibri" w:hAnsi="Calibri"/>
          <w:b w:val="0"/>
          <w:i w:val="0"/>
          <w:color w:val="1B2A32"/>
          <w:sz w:val="21"/>
        </w:rPr>
        <w:t xml:space="preserve">When the parties settle, the Mediated Settlement Agreement is </w:t>
      </w:r>
      <w:r>
        <w:rPr>
          <w:rFonts w:ascii="Calibri" w:hAnsi="Calibri"/>
          <w:b/>
          <w:i w:val="0"/>
          <w:color w:val="1B2A32"/>
          <w:sz w:val="21"/>
        </w:rPr>
        <w:t>e-stamped on the platform</w:t>
      </w:r>
      <w:r>
        <w:rPr>
          <w:rFonts w:ascii="Calibri" w:hAnsi="Calibri"/>
          <w:b w:val="0"/>
          <w:i w:val="0"/>
          <w:color w:val="1B2A32"/>
          <w:sz w:val="21"/>
        </w:rPr>
        <w:t xml:space="preserve">. Stamp duty is paid digitally through the </w:t>
      </w:r>
      <w:r>
        <w:rPr>
          <w:rFonts w:ascii="Calibri" w:hAnsi="Calibri"/>
          <w:b/>
          <w:i w:val="0"/>
          <w:color w:val="1B2A32"/>
          <w:sz w:val="21"/>
        </w:rPr>
        <w:t>Stock Holding Corporation of India (SHCIL)</w:t>
      </w:r>
      <w:r>
        <w:rPr>
          <w:rFonts w:ascii="Calibri" w:hAnsi="Calibri"/>
          <w:b w:val="0"/>
          <w:i w:val="0"/>
          <w:color w:val="1B2A32"/>
          <w:sz w:val="21"/>
        </w:rPr>
        <w:t xml:space="preserve">, the Central Record-Keeping Agency for e-stamping, producing a verifiable e-stamp certificate attached to the MSA. The e-signed, e-stamped MSA is then </w:t>
      </w:r>
      <w:r>
        <w:rPr>
          <w:rFonts w:ascii="Calibri" w:hAnsi="Calibri"/>
          <w:b/>
          <w:i w:val="0"/>
          <w:color w:val="1B2A32"/>
          <w:sz w:val="21"/>
        </w:rPr>
        <w:t>registered</w:t>
      </w:r>
      <w:r>
        <w:rPr>
          <w:rFonts w:ascii="Calibri" w:hAnsi="Calibri"/>
          <w:b w:val="0"/>
          <w:i w:val="0"/>
          <w:color w:val="1B2A32"/>
          <w:sz w:val="21"/>
        </w:rPr>
        <w:t xml:space="preserve"> with the competent authority within 180 days (Section 20) and is </w:t>
      </w:r>
      <w:r>
        <w:rPr>
          <w:rFonts w:ascii="Calibri" w:hAnsi="Calibri"/>
          <w:b/>
          <w:i w:val="0"/>
          <w:color w:val="1B2A32"/>
          <w:sz w:val="21"/>
        </w:rPr>
        <w:t>enforceable as a decree</w:t>
      </w:r>
      <w:r>
        <w:rPr>
          <w:rFonts w:ascii="Calibri" w:hAnsi="Calibri"/>
          <w:b w:val="0"/>
          <w:i w:val="0"/>
          <w:color w:val="1B2A32"/>
          <w:sz w:val="21"/>
        </w:rPr>
        <w:t xml:space="preserve"> (Section 27). Where the settlement changes legal status — the divorce itself, or custody — the e-executed terms are carried to the competent court for the decree. The result is a genuinely end-to-end digital journey: file online, mediate online, sign online, stamp online, register — with paper needed only where a specific court still requires it.</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Confirm the current e-stamping availability and stamp-duty rate for settlement instruments in each operating state (stamp duty is a state subject), and the local sub-registrar's acceptance of e-stamped, e-signed instruments, before switching a state fully paperless.</w:t>
            </w:r>
          </w:p>
        </w:tc>
      </w:tr>
    </w:tbl>
    <w:p>
      <w:pPr>
        <w:spacing w:after="120"/>
      </w:pPr>
    </w:p>
    <w:p>
      <w:pPr>
        <w:keepNext/>
        <w:spacing w:before="320" w:after="140"/>
        <w:pBdr>
          <w:bottom w:val="single" w:sz="12" w:space="3" w:color="C6A15B"/>
        </w:pBdr>
      </w:pPr>
      <w:r>
        <w:rPr>
          <w:rFonts w:ascii="Calibri" w:hAnsi="Calibri"/>
          <w:b/>
          <w:i w:val="0"/>
          <w:color w:val="123B4F"/>
          <w:sz w:val="34"/>
        </w:rPr>
        <w:t>41.  Integration with Judicial Family Courts</w:t>
      </w:r>
    </w:p>
    <w:tbl>
      <w:tblPr>
        <w:tblW w:type="auto" w:w="0"/>
        <w:jc w:val="center"/>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90" w:type="dxa"/>
              <w:bottom w:w="90" w:type="dxa"/>
              <w:start w:w="140" w:type="dxa"/>
              <w:end w:w="140" w:type="dxa"/>
            </w:tcMar>
            <w:tcBorders>
              <w:start w:val="single" w:sz="26" w:space="0" w:color="1E7A8C"/>
            </w:tcBorders>
          </w:tcPr>
          <w:p>
            <w:pPr>
              <w:spacing w:after="40"/>
            </w:pPr>
            <w:r>
              <w:rPr>
                <w:rFonts w:ascii="Calibri" w:hAnsi="Calibri"/>
                <w:b/>
                <w:i w:val="0"/>
                <w:color w:val="123B4F"/>
                <w:sz w:val="19"/>
              </w:rPr>
              <w:t>PRACTICAL SUMMARY</w:t>
            </w:r>
          </w:p>
          <w:p>
            <w:pPr>
              <w:jc w:val="both"/>
            </w:pPr>
            <w:r>
              <w:rPr>
                <w:rFonts w:ascii="Calibri" w:hAnsi="Calibri"/>
                <w:b w:val="0"/>
                <w:i w:val="0"/>
                <w:color w:val="1B2A32"/>
                <w:sz w:val="20"/>
              </w:rPr>
              <w:t>Equator plugs into the court system in both directions: courts can send cases to Equator, and Equator sends back either a registered settlement or a certificate of the attempt — reducing the court's load either way.</w:t>
            </w:r>
          </w:p>
        </w:tc>
      </w:tr>
    </w:tbl>
    <w:p>
      <w:pPr>
        <w:spacing w:after="120"/>
      </w:pPr>
    </w:p>
    <w:p>
      <w:pPr>
        <w:spacing w:after="140"/>
        <w:jc w:val="both"/>
      </w:pPr>
      <w:r>
        <w:rPr>
          <w:rFonts w:ascii="Calibri" w:hAnsi="Calibri"/>
          <w:b w:val="0"/>
          <w:i w:val="0"/>
          <w:color w:val="1B2A32"/>
          <w:sz w:val="21"/>
        </w:rPr>
        <w:t xml:space="preserve">The platform is built to interoperate with the judiciary. </w:t>
      </w:r>
      <w:r>
        <w:rPr>
          <w:rFonts w:ascii="Calibri" w:hAnsi="Calibri"/>
          <w:b/>
          <w:i w:val="0"/>
          <w:color w:val="1B2A32"/>
          <w:sz w:val="21"/>
        </w:rPr>
        <w:t>Referral in:</w:t>
      </w:r>
      <w:r>
        <w:rPr>
          <w:rFonts w:ascii="Calibri" w:hAnsi="Calibri"/>
          <w:b w:val="0"/>
          <w:i w:val="0"/>
          <w:color w:val="1B2A32"/>
          <w:sz w:val="21"/>
        </w:rPr>
        <w:t xml:space="preserve"> a family court or civil court can refer a matter to Equator under Section 89 of the Code of Civil Procedure and Section 9 of the Family Courts Act, 1984, with a simple secure hand-off of the cause title and parties. </w:t>
      </w:r>
      <w:r>
        <w:rPr>
          <w:rFonts w:ascii="Calibri" w:hAnsi="Calibri"/>
          <w:b/>
          <w:i w:val="0"/>
          <w:color w:val="1B2A32"/>
          <w:sz w:val="21"/>
        </w:rPr>
        <w:t>Referral out:</w:t>
      </w:r>
      <w:r>
        <w:rPr>
          <w:rFonts w:ascii="Calibri" w:hAnsi="Calibri"/>
          <w:b w:val="0"/>
          <w:i w:val="0"/>
          <w:color w:val="1B2A32"/>
          <w:sz w:val="21"/>
        </w:rPr>
        <w:t xml:space="preserve"> on conclusion, Equator returns to the court either the </w:t>
      </w:r>
      <w:r>
        <w:rPr>
          <w:rFonts w:ascii="Calibri" w:hAnsi="Calibri"/>
          <w:b/>
          <w:i w:val="0"/>
          <w:color w:val="1B2A32"/>
          <w:sz w:val="21"/>
        </w:rPr>
        <w:t>registered MSA / agreed terms</w:t>
      </w:r>
      <w:r>
        <w:rPr>
          <w:rFonts w:ascii="Calibri" w:hAnsi="Calibri"/>
          <w:b w:val="0"/>
          <w:i w:val="0"/>
          <w:color w:val="1B2A32"/>
          <w:sz w:val="21"/>
        </w:rPr>
        <w:t xml:space="preserve"> for a consent decree, or a </w:t>
      </w:r>
      <w:r>
        <w:rPr>
          <w:rFonts w:ascii="Calibri" w:hAnsi="Calibri"/>
          <w:b/>
          <w:i w:val="0"/>
          <w:color w:val="1B2A32"/>
          <w:sz w:val="21"/>
        </w:rPr>
        <w:t>certificate of attempted mediation</w:t>
      </w:r>
      <w:r>
        <w:rPr>
          <w:rFonts w:ascii="Calibri" w:hAnsi="Calibri"/>
          <w:b w:val="0"/>
          <w:i w:val="0"/>
          <w:color w:val="1B2A32"/>
          <w:sz w:val="21"/>
        </w:rPr>
        <w:t xml:space="preserve"> (the Indian analogue of the s.60I certificate) where the matter did not settle — with, for a partial settlement, a court-ready handoff memo (Form F-28) setting out what is agreed and what remains. Over time, secure </w:t>
      </w:r>
      <w:r>
        <w:rPr>
          <w:rFonts w:ascii="Calibri" w:hAnsi="Calibri"/>
          <w:b/>
          <w:i w:val="0"/>
          <w:color w:val="1B2A32"/>
          <w:sz w:val="21"/>
        </w:rPr>
        <w:t>e-filing linkage and status synchronisation</w:t>
      </w:r>
      <w:r>
        <w:rPr>
          <w:rFonts w:ascii="Calibri" w:hAnsi="Calibri"/>
          <w:b w:val="0"/>
          <w:i w:val="0"/>
          <w:color w:val="1B2A32"/>
          <w:sz w:val="21"/>
        </w:rPr>
        <w:t xml:space="preserve"> with court systems (aligned with the national e-Courts programme) let referrals, outcomes and hearing dates flow with consent, so parties and the court always see a single, current picture. All data exchange is consent-based and DPDP-compliant.</w:t>
      </w:r>
    </w:p>
    <w:p>
      <w:pPr>
        <w:spacing w:before="80" w:after="40"/>
        <w:jc w:val="center"/>
      </w:pPr>
      <w:r>
        <w:drawing>
          <wp:inline xmlns:a="http://schemas.openxmlformats.org/drawingml/2006/main" xmlns:pic="http://schemas.openxmlformats.org/drawingml/2006/picture">
            <wp:extent cx="5669280" cy="853564"/>
            <wp:docPr id="11" name="Picture 11"/>
            <wp:cNvGraphicFramePr>
              <a:graphicFrameLocks noChangeAspect="1"/>
            </wp:cNvGraphicFramePr>
            <a:graphic>
              <a:graphicData uri="http://schemas.openxmlformats.org/drawingml/2006/picture">
                <pic:pic>
                  <pic:nvPicPr>
                    <pic:cNvPr id="0" name="12_court_integration.png"/>
                    <pic:cNvPicPr/>
                  </pic:nvPicPr>
                  <pic:blipFill>
                    <a:blip r:embed="rId19"/>
                    <a:stretch>
                      <a:fillRect/>
                    </a:stretch>
                  </pic:blipFill>
                  <pic:spPr>
                    <a:xfrm>
                      <a:off x="0" y="0"/>
                      <a:ext cx="5669280" cy="853564"/>
                    </a:xfrm>
                    <a:prstGeom prst="rect"/>
                  </pic:spPr>
                </pic:pic>
              </a:graphicData>
            </a:graphic>
          </wp:inline>
        </w:drawing>
      </w:r>
    </w:p>
    <w:p>
      <w:pPr>
        <w:spacing w:before="20" w:after="200"/>
        <w:jc w:val="center"/>
      </w:pPr>
      <w:r>
        <w:rPr>
          <w:rFonts w:ascii="Calibri" w:hAnsi="Calibri"/>
          <w:b w:val="0"/>
          <w:i/>
          <w:color w:val="556168"/>
          <w:sz w:val="17"/>
        </w:rPr>
        <w:t>Figure 12 — Two-way integration with the courts: referral in, resolution, and referral out.</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Court integration should be pursued in partnership with the relevant High Court / State Legal Services Authority and aligned with the e-Courts framework; begin with a memorandum of understanding and a referral pilot in one or two family courts before scaling.</w:t>
            </w:r>
          </w:p>
        </w:tc>
      </w:tr>
    </w:tbl>
    <w:p>
      <w:pPr>
        <w:spacing w:after="120"/>
      </w:pPr>
    </w:p>
    <w:p>
      <w:r>
        <w:br w:type="page"/>
      </w:r>
    </w:p>
    <w:p>
      <w:pPr>
        <w:spacing w:before="600" w:after="40"/>
      </w:pPr>
      <w:r>
        <w:rPr>
          <w:rFonts w:ascii="Calibri" w:hAnsi="Calibri"/>
          <w:b/>
          <w:i w:val="0"/>
          <w:color w:val="C6A15B"/>
          <w:sz w:val="26"/>
        </w:rPr>
        <w:t>PART G</w:t>
      </w:r>
    </w:p>
    <w:p>
      <w:pPr>
        <w:spacing w:after="200"/>
        <w:pBdr>
          <w:bottom w:val="single" w:sz="18" w:space="3" w:color="1E7A8C"/>
        </w:pBdr>
      </w:pPr>
      <w:r>
        <w:rPr>
          <w:rFonts w:ascii="Calibri" w:hAnsi="Calibri"/>
          <w:b/>
          <w:i w:val="0"/>
          <w:color w:val="123B4F"/>
          <w:sz w:val="46"/>
        </w:rPr>
        <w:t>Annexures</w:t>
      </w:r>
    </w:p>
    <w:p>
      <w:pPr>
        <w:keepNext/>
        <w:spacing w:before="320" w:after="140"/>
        <w:pBdr>
          <w:bottom w:val="single" w:sz="12" w:space="3" w:color="C6A15B"/>
        </w:pBdr>
      </w:pPr>
      <w:r>
        <w:rPr>
          <w:rFonts w:ascii="Calibri" w:hAnsi="Calibri"/>
          <w:b/>
          <w:i w:val="0"/>
          <w:color w:val="123B4F"/>
          <w:sz w:val="34"/>
        </w:rPr>
        <w:t>Annexure A — Consolidated Legal Authorities</w:t>
      </w:r>
    </w:p>
    <w:p>
      <w:pPr>
        <w:keepNext/>
        <w:spacing w:before="220" w:after="80"/>
      </w:pPr>
      <w:r>
        <w:rPr>
          <w:rFonts w:ascii="Calibri" w:hAnsi="Calibri"/>
          <w:b/>
          <w:i w:val="0"/>
          <w:color w:val="1E7A8C"/>
          <w:sz w:val="26"/>
        </w:rPr>
        <w:t>Statutes &amp; subordinate legislation</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6"/>
              </w:rPr>
              <w:t>Instrument</w:t>
            </w:r>
          </w:p>
        </w:tc>
        <w:tc>
          <w:tcPr>
            <w:tcW w:type="dxa" w:w="6273"/>
            <w:shd w:val="clear" w:color="auto" w:fill="123B4F"/>
            <w:tcMar>
              <w:top w:w="60" w:type="dxa"/>
              <w:bottom w:w="60" w:type="dxa"/>
              <w:start w:w="110" w:type="dxa"/>
              <w:end w:w="110" w:type="dxa"/>
            </w:tcMar>
          </w:tcPr>
          <w:p>
            <w:pPr>
              <w:spacing w:after="0"/>
            </w:pPr>
            <w:r>
              <w:rPr>
                <w:rFonts w:ascii="Calibri" w:hAnsi="Calibri"/>
                <w:b/>
                <w:i w:val="0"/>
                <w:color w:val="FFFFFF"/>
                <w:sz w:val="16"/>
              </w:rPr>
              <w:t>Relevance to Equator (Family)</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Mediation Act, 2023 (Act 32 of 2023)</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Governs the mediation itself: MSP/MCI framework, 120+60-day timeline, MSA (s.19), registration (s.20), confidentiality (s.22), enforceability as decree (s.27), challenge (s.28), exclusions (s.6 &amp; First Schedule)</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Hindu Marriage Act, 1955</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Divorce (s.13/13B), RCR (s.9), judicial separation (s.10), maintenance (ss.24–25), custody (s.26), reconciliation duty (s.23(2))</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Special Marriage Act, 1954</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Inter-faith/civil marriage; grounds (s.27), mutual consent (s.28), notice regime (ss.5–7)</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Muslim Personal Law (Shariat) Application Act, 1937; Dissolution of Muslim Marriages Act, 1939</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Muslim marriage &amp; divorce (talaq, khula, mubarat, faskh); grounds for wife's judicial divorce</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Muslim Women (Protection of Rights on Marriage) Act, 2019</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Triple talaq void and punishable</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Muslim Women (Protection of Rights on Divorce) Act, 1986</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Maintenance/fair provision for divorced Muslim women</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Divorce Act, 1869; Christian Marriage Act, 1872</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Christian divorce grounds (s.10) and mutual consent (s.10A)</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Parsi Marriage and Divorce Act, 1936</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Parsi grounds (s.32), mutual consent (s.32B), Parsi Matrimonial Courts</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Protection of Women from Domestic Violence Act, 2005</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Protection/residence/monetary/custody/compensation reliefs (ss.18–22); right to reside (s.17)</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Dowry Prohibition Act, 1961</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Prohibits giving/taking/demanding dowry (ss.3–4)</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Bharatiya Nyaya Sanhita, 2023 (from 01.07.2024)</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Cruelty (ss.85–86, ex-498A), dowry death (s.80, ex-304B), bigamy (s.82)</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Bharatiya Nagarik Suraksha Sanhita, 2023 (from 01.07.2024)</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Quashing (s.528, ex-482 CrPC), compounding (s.359, ex-320), maintenance (s.144, ex-125), arrest safeguards (s.35, ex-41)</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Guardians and Wards Act, 1890; Hindu Minority and Guardianship Act, 1956</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Custody &amp; guardianship; welfare of the minor is paramount</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Family Courts Act, 1984</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Family-court settlement/reconciliation duty (s.9); referral partner for mediation</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6"/>
              </w:rPr>
              <w:t>Indian Contract Act, 1872</w:t>
            </w:r>
          </w:p>
        </w:tc>
        <w:tc>
          <w:tcPr>
            <w:tcW w:type="dxa" w:w="6273"/>
            <w:tcMar>
              <w:top w:w="60" w:type="dxa"/>
              <w:bottom w:w="60" w:type="dxa"/>
              <w:start w:w="110" w:type="dxa"/>
              <w:end w:w="110" w:type="dxa"/>
            </w:tcMar>
          </w:tcPr>
          <w:p>
            <w:pPr>
              <w:spacing w:after="0"/>
              <w:jc w:val="left"/>
            </w:pPr>
            <w:r>
              <w:rPr>
                <w:rFonts w:ascii="Calibri" w:hAnsi="Calibri"/>
                <w:b w:val="0"/>
                <w:i w:val="0"/>
                <w:color w:val="1B2A32"/>
                <w:sz w:val="16"/>
              </w:rPr>
              <w:t>Legal basis for escrow (agency ss.182–238; bailment ss.148–181)</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Digital Personal Data Protection Act, 2023 &amp; Rules, 2025</w:t>
            </w:r>
          </w:p>
        </w:tc>
        <w:tc>
          <w:tcPr>
            <w:tcW w:type="dxa" w:w="6273"/>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Consent, data-principal rights, security, children's data, breach notification, Data Protection Board</w:t>
            </w:r>
          </w:p>
        </w:tc>
      </w:tr>
    </w:tbl>
    <w:p>
      <w:pPr>
        <w:spacing w:after="80"/>
      </w:pPr>
    </w:p>
    <w:p>
      <w:pPr>
        <w:spacing w:before="20" w:after="200"/>
        <w:jc w:val="center"/>
      </w:pPr>
      <w:r>
        <w:rPr>
          <w:rFonts w:ascii="Calibri" w:hAnsi="Calibri"/>
          <w:b w:val="0"/>
          <w:i/>
          <w:color w:val="556168"/>
          <w:sz w:val="17"/>
        </w:rPr>
        <w:t>Table A-1 — Governing statutes.</w:t>
      </w:r>
    </w:p>
    <w:p>
      <w:pPr>
        <w:keepNext/>
        <w:spacing w:before="220" w:after="80"/>
      </w:pPr>
      <w:r>
        <w:rPr>
          <w:rFonts w:ascii="Calibri" w:hAnsi="Calibri"/>
          <w:b/>
          <w:i w:val="0"/>
          <w:color w:val="1E7A8C"/>
          <w:sz w:val="26"/>
        </w:rPr>
        <w:t>Leading judgments</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6"/>
              </w:rPr>
              <w:t>Case</w:t>
            </w:r>
          </w:p>
        </w:tc>
        <w:tc>
          <w:tcPr>
            <w:tcW w:type="dxa" w:w="5702"/>
            <w:shd w:val="clear" w:color="auto" w:fill="123B4F"/>
            <w:tcMar>
              <w:top w:w="60" w:type="dxa"/>
              <w:bottom w:w="60" w:type="dxa"/>
              <w:start w:w="110" w:type="dxa"/>
              <w:end w:w="110" w:type="dxa"/>
            </w:tcMar>
          </w:tcPr>
          <w:p>
            <w:pPr>
              <w:spacing w:after="0"/>
            </w:pPr>
            <w:r>
              <w:rPr>
                <w:rFonts w:ascii="Calibri" w:hAnsi="Calibri"/>
                <w:b/>
                <w:i w:val="0"/>
                <w:color w:val="FFFFFF"/>
                <w:sz w:val="16"/>
              </w:rPr>
              <w:t>Proposition</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Amardeep Singh v. Harveen Kaur, (2017) 8 SCC 746</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s.13B(2) cooling-off is directory; may be waived where parties long separated &amp; fully settled</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Shilpa Sailesh v. Varun Sreenivasan, 2023 INSC 468</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Supreme Court may dissolve marriage on irretrievable breakdown &amp; waive waiting period (Art. 142)</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Rajnesh v. Neha, (2021) 2 SCC 324</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Mandatory Affidavit of Assets &amp; Liabilities; maintenance timelines &amp; quantum criteria; from date of application</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Gian Singh v. State of Punjab, (2012) 10 SCC 303</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High Court may quash non-compoundable offences in private/matrimonial disputes on genuine settlement</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B.S. Joshi v. State of Haryana, (2003) 4 SCC 675</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Inherent power to quash matrimonial 498A on settlement</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K. Srinivas Rao v. D.A. Deepa, (2013) 5 SCC 226</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Even non-compoundable matrimonial offences may be referred to mediation</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Parbatbhai Aahir v. State of Gujarat, (2017) 9 SCC 641</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Principles governing quashing on settlement; heinous/public offences excepted</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Dara Lakshmi Narayana v. State of Telangana, 2024 INSC 953</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Vague, omnibus 498A/BNS-85 FIRs against relatives may be quashed; misuse caution</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Arnesh Kumar v. State of Bihar, (2014) 8 SCC 273</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Safeguards against automatic arrest in 498A cases</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Shayara Bano v. Union of India, (2017) 9 SCC 1</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Instant triple talaq unconstitutional</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Danial Latifi v. Union of India, (2001) 7 SCC 740</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Fair &amp; reasonable provision for divorced Muslim woman beyond iddat</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Joseph Shine v. Union of India, (2019) 3 SCC 39</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Adultery decriminalised; remains a matrimonial ground</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Satish Chandra Ahuja v. Sneha Ahuja, (2021) 1 SCC 414</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Wife's right to reside in the shared household</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Pratibha Rani v. Suraj Kumar, (1985) 2 SCC 370</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Streedhan is the wife's absolute property</w:t>
            </w:r>
          </w:p>
        </w:tc>
      </w:tr>
      <w:tr>
        <w:trPr>
          <w:trHeight w:val="0"/>
        </w:trPr>
        <w:tc>
          <w:tcPr>
            <w:tcW w:type="dxa" w:w="3802"/>
            <w:tcMar>
              <w:top w:w="60" w:type="dxa"/>
              <w:bottom w:w="60" w:type="dxa"/>
              <w:start w:w="110" w:type="dxa"/>
              <w:end w:w="110" w:type="dxa"/>
            </w:tcMar>
          </w:tcPr>
          <w:p>
            <w:pPr>
              <w:spacing w:after="0"/>
              <w:jc w:val="left"/>
            </w:pPr>
            <w:r>
              <w:rPr>
                <w:rFonts w:ascii="Calibri" w:hAnsi="Calibri"/>
                <w:b w:val="0"/>
                <w:i w:val="0"/>
                <w:color w:val="1B2A32"/>
                <w:sz w:val="16"/>
              </w:rPr>
              <w:t>Y. Narasimha Rao v. Y. Venkata Lakshmi, (1991) 3 SCC 451</w:t>
            </w:r>
          </w:p>
        </w:tc>
        <w:tc>
          <w:tcPr>
            <w:tcW w:type="dxa" w:w="5702"/>
            <w:tcMar>
              <w:top w:w="60" w:type="dxa"/>
              <w:bottom w:w="60" w:type="dxa"/>
              <w:start w:w="110" w:type="dxa"/>
              <w:end w:w="110" w:type="dxa"/>
            </w:tcMar>
          </w:tcPr>
          <w:p>
            <w:pPr>
              <w:spacing w:after="0"/>
              <w:jc w:val="left"/>
            </w:pPr>
            <w:r>
              <w:rPr>
                <w:rFonts w:ascii="Calibri" w:hAnsi="Calibri"/>
                <w:b w:val="0"/>
                <w:i w:val="0"/>
                <w:color w:val="1B2A32"/>
                <w:sz w:val="16"/>
              </w:rPr>
              <w:t>Tests for recognition of foreign matrimonial decrees (s.13 CPC)</w:t>
            </w:r>
          </w:p>
        </w:tc>
      </w:tr>
      <w:tr>
        <w:trPr>
          <w:trHeight w:val="0"/>
        </w:trPr>
        <w:tc>
          <w:tcPr>
            <w:tcW w:type="dxa" w:w="38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Gaurav Nagpal v. Sumedha Nagpal, (2009) 1 SCC 42</w:t>
            </w:r>
          </w:p>
        </w:tc>
        <w:tc>
          <w:tcPr>
            <w:tcW w:type="dxa" w:w="5702"/>
            <w:tcMar>
              <w:top w:w="60" w:type="dxa"/>
              <w:bottom w:w="60" w:type="dxa"/>
              <w:start w:w="110" w:type="dxa"/>
              <w:end w:w="110" w:type="dxa"/>
            </w:tcMar>
            <w:shd w:val="clear" w:color="auto" w:fill="F2F6F8"/>
          </w:tcPr>
          <w:p>
            <w:pPr>
              <w:spacing w:after="0"/>
              <w:jc w:val="left"/>
            </w:pPr>
            <w:r>
              <w:rPr>
                <w:rFonts w:ascii="Calibri" w:hAnsi="Calibri"/>
                <w:b w:val="0"/>
                <w:i w:val="0"/>
                <w:color w:val="1B2A32"/>
                <w:sz w:val="16"/>
              </w:rPr>
              <w:t>Welfare of the child is the paramount consideration in custody</w:t>
            </w:r>
          </w:p>
        </w:tc>
      </w:tr>
    </w:tbl>
    <w:p>
      <w:pPr>
        <w:spacing w:after="80"/>
      </w:pPr>
    </w:p>
    <w:p>
      <w:pPr>
        <w:spacing w:before="20" w:after="200"/>
        <w:jc w:val="center"/>
      </w:pPr>
      <w:r>
        <w:rPr>
          <w:rFonts w:ascii="Calibri" w:hAnsi="Calibri"/>
          <w:b w:val="0"/>
          <w:i/>
          <w:color w:val="556168"/>
          <w:sz w:val="17"/>
        </w:rPr>
        <w:t>Table A-2 — Leading judgments relied upon.</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Citations are provided for professional guidance and were current as of July 2026. Neutral/parallel citations and pinpoint paragraphs should be verified against the official reports before any court filing, and later developments checked, particularly as jurisprudence under the BNS/BNSS matures.</w:t>
            </w:r>
          </w:p>
        </w:tc>
      </w:tr>
    </w:tbl>
    <w:p>
      <w:pPr>
        <w:spacing w:after="120"/>
      </w:pPr>
    </w:p>
    <w:p>
      <w:pPr>
        <w:keepNext/>
        <w:spacing w:before="220" w:after="80"/>
      </w:pPr>
      <w:r>
        <w:rPr>
          <w:rFonts w:ascii="Calibri" w:hAnsi="Calibri"/>
          <w:b/>
          <w:i w:val="0"/>
          <w:color w:val="1E7A8C"/>
          <w:sz w:val="26"/>
        </w:rPr>
        <w:t>Law-as-at &amp; maintenance</w:t>
      </w:r>
    </w:p>
    <w:p>
      <w:pPr>
        <w:spacing w:after="140"/>
        <w:jc w:val="both"/>
      </w:pPr>
      <w:r>
        <w:rPr>
          <w:rFonts w:ascii="Calibri" w:hAnsi="Calibri"/>
          <w:b w:val="0"/>
          <w:i w:val="0"/>
          <w:color w:val="1B2A32"/>
          <w:sz w:val="21"/>
        </w:rPr>
        <w:t>This Blueprint states the law as at the date below. It should be reviewed on each trigger event listed so it stays current. Primary sources should be consulted on the official portals — bare Acts on the India Code portal (indiacode.nic.in), and judgments on the Supreme Court/High Court e-repositories — and hyperlinks added in the platform's living version.</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Area</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Law-as-at</w:t>
            </w:r>
          </w:p>
        </w:tc>
        <w:tc>
          <w:tcPr>
            <w:tcW w:type="dxa" w:w="4182"/>
            <w:shd w:val="clear" w:color="auto" w:fill="123B4F"/>
            <w:tcMar>
              <w:top w:w="60" w:type="dxa"/>
              <w:bottom w:w="60" w:type="dxa"/>
              <w:start w:w="110" w:type="dxa"/>
              <w:end w:w="110" w:type="dxa"/>
            </w:tcMar>
          </w:tcPr>
          <w:p>
            <w:pPr>
              <w:spacing w:after="0"/>
            </w:pPr>
            <w:r>
              <w:rPr>
                <w:rFonts w:ascii="Calibri" w:hAnsi="Calibri"/>
                <w:b/>
                <w:i w:val="0"/>
                <w:color w:val="FFFFFF"/>
                <w:sz w:val="17"/>
              </w:rPr>
              <w:t>Review trigger</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Mediation Act, 2023 framework</w:t>
            </w:r>
          </w:p>
        </w:tc>
        <w:tc>
          <w:tcPr>
            <w:tcW w:type="dxa" w:w="2091"/>
            <w:tcMar>
              <w:top w:w="60" w:type="dxa"/>
              <w:bottom w:w="60" w:type="dxa"/>
              <w:start w:w="110" w:type="dxa"/>
              <w:end w:w="110" w:type="dxa"/>
            </w:tcMar>
          </w:tcPr>
          <w:p>
            <w:pPr>
              <w:spacing w:after="0"/>
              <w:jc w:val="left"/>
            </w:pPr>
            <w:r>
              <w:rPr>
                <w:rFonts w:ascii="Calibri" w:hAnsi="Calibri"/>
                <w:b w:val="0"/>
                <w:i w:val="0"/>
                <w:color w:val="1B2A32"/>
                <w:sz w:val="17"/>
              </w:rPr>
              <w:t>July 2026</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Constitution of the Mediation Council of India; MSP grading rules</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Criminal law (BNS / BNSS)</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July 2026</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Emerging BNS/BNSS jurisprudence; any amendment</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DPDP Act &amp; Rules</w:t>
            </w:r>
          </w:p>
        </w:tc>
        <w:tc>
          <w:tcPr>
            <w:tcW w:type="dxa" w:w="2091"/>
            <w:tcMar>
              <w:top w:w="60" w:type="dxa"/>
              <w:bottom w:w="60" w:type="dxa"/>
              <w:start w:w="110" w:type="dxa"/>
              <w:end w:w="110" w:type="dxa"/>
            </w:tcMar>
          </w:tcPr>
          <w:p>
            <w:pPr>
              <w:spacing w:after="0"/>
              <w:jc w:val="left"/>
            </w:pPr>
            <w:r>
              <w:rPr>
                <w:rFonts w:ascii="Calibri" w:hAnsi="Calibri"/>
                <w:b w:val="0"/>
                <w:i w:val="0"/>
                <w:color w:val="1B2A32"/>
                <w:sz w:val="17"/>
              </w:rPr>
              <w:t>July 2026 (Rules 2025)</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Phase-2 (Nov 2026) &amp; Phase-3 (May 2027) commencement</w:t>
            </w:r>
          </w:p>
        </w:tc>
      </w:tr>
      <w:tr>
        <w:trPr>
          <w:trHeight w:val="0"/>
        </w:trPr>
        <w:tc>
          <w:tcPr>
            <w:tcW w:type="dxa" w:w="323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Personal laws &amp; case law</w:t>
            </w:r>
          </w:p>
        </w:tc>
        <w:tc>
          <w:tcPr>
            <w:tcW w:type="dxa" w:w="209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July 2026</w:t>
            </w:r>
          </w:p>
        </w:tc>
        <w:tc>
          <w:tcPr>
            <w:tcW w:type="dxa" w:w="418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New Supreme Court rulings; NRI Marriage Bill enactment</w:t>
            </w:r>
          </w:p>
        </w:tc>
      </w:tr>
      <w:tr>
        <w:trPr>
          <w:trHeight w:val="0"/>
        </w:trPr>
        <w:tc>
          <w:tcPr>
            <w:tcW w:type="dxa" w:w="3231"/>
            <w:tcMar>
              <w:top w:w="60" w:type="dxa"/>
              <w:bottom w:w="60" w:type="dxa"/>
              <w:start w:w="110" w:type="dxa"/>
              <w:end w:w="110" w:type="dxa"/>
            </w:tcMar>
          </w:tcPr>
          <w:p>
            <w:pPr>
              <w:spacing w:after="0"/>
              <w:jc w:val="left"/>
            </w:pPr>
            <w:r>
              <w:rPr>
                <w:rFonts w:ascii="Calibri" w:hAnsi="Calibri"/>
                <w:b w:val="0"/>
                <w:i w:val="0"/>
                <w:color w:val="1B2A32"/>
                <w:sz w:val="17"/>
              </w:rPr>
              <w:t>Fees &amp; escrow / PMLA</w:t>
            </w:r>
          </w:p>
        </w:tc>
        <w:tc>
          <w:tcPr>
            <w:tcW w:type="dxa" w:w="2091"/>
            <w:tcMar>
              <w:top w:w="60" w:type="dxa"/>
              <w:bottom w:w="60" w:type="dxa"/>
              <w:start w:w="110" w:type="dxa"/>
              <w:end w:w="110" w:type="dxa"/>
            </w:tcMar>
          </w:tcPr>
          <w:p>
            <w:pPr>
              <w:spacing w:after="0"/>
              <w:jc w:val="left"/>
            </w:pPr>
            <w:r>
              <w:rPr>
                <w:rFonts w:ascii="Calibri" w:hAnsi="Calibri"/>
                <w:b w:val="0"/>
                <w:i w:val="0"/>
                <w:color w:val="1B2A32"/>
                <w:sz w:val="17"/>
              </w:rPr>
              <w:t>July 2026</w:t>
            </w:r>
          </w:p>
        </w:tc>
        <w:tc>
          <w:tcPr>
            <w:tcW w:type="dxa" w:w="4182"/>
            <w:tcMar>
              <w:top w:w="60" w:type="dxa"/>
              <w:bottom w:w="60" w:type="dxa"/>
              <w:start w:w="110" w:type="dxa"/>
              <w:end w:w="110" w:type="dxa"/>
            </w:tcMar>
          </w:tcPr>
          <w:p>
            <w:pPr>
              <w:spacing w:after="0"/>
              <w:jc w:val="left"/>
            </w:pPr>
            <w:r>
              <w:rPr>
                <w:rFonts w:ascii="Calibri" w:hAnsi="Calibri"/>
                <w:b w:val="0"/>
                <w:i w:val="0"/>
                <w:color w:val="1B2A32"/>
                <w:sz w:val="17"/>
              </w:rPr>
              <w:t>RBI/PMLA changes; Equator tariff revisions</w:t>
            </w:r>
          </w:p>
        </w:tc>
      </w:tr>
    </w:tbl>
    <w:p>
      <w:pPr>
        <w:spacing w:after="80"/>
      </w:pPr>
    </w:p>
    <w:p>
      <w:pPr>
        <w:spacing w:before="20" w:after="200"/>
        <w:jc w:val="center"/>
      </w:pPr>
      <w:r>
        <w:rPr>
          <w:rFonts w:ascii="Calibri" w:hAnsi="Calibri"/>
          <w:b w:val="0"/>
          <w:i/>
          <w:color w:val="556168"/>
          <w:sz w:val="17"/>
        </w:rPr>
        <w:t>Table A-3 — Law-as-at and review triggers (keep the platform's living version updated).</w:t>
      </w:r>
    </w:p>
    <w:p>
      <w:pPr>
        <w:keepNext/>
        <w:spacing w:before="320" w:after="140"/>
        <w:pBdr>
          <w:bottom w:val="single" w:sz="12" w:space="3" w:color="C6A15B"/>
        </w:pBdr>
      </w:pPr>
      <w:r>
        <w:rPr>
          <w:rFonts w:ascii="Calibri" w:hAnsi="Calibri"/>
          <w:b/>
          <w:i w:val="0"/>
          <w:color w:val="123B4F"/>
          <w:sz w:val="34"/>
        </w:rPr>
        <w:t>Annexure B — Dispute-Type Matrix</w:t>
      </w:r>
    </w:p>
    <w:p>
      <w:pPr>
        <w:spacing w:after="140"/>
        <w:jc w:val="both"/>
      </w:pPr>
      <w:r>
        <w:rPr>
          <w:rFonts w:ascii="Calibri" w:hAnsi="Calibri"/>
          <w:b w:val="0"/>
          <w:i w:val="0"/>
          <w:color w:val="1B2A32"/>
          <w:sz w:val="21"/>
        </w:rPr>
        <w:t xml:space="preserve">The complete Marriage-regime → Dispute-type → Issue → Applicable-law → Relief → Forms → Screening matrix is delivered in machine-readable form in the </w:t>
      </w:r>
      <w:r>
        <w:rPr>
          <w:rFonts w:ascii="Calibri" w:hAnsi="Calibri"/>
          <w:b/>
          <w:i w:val="0"/>
          <w:color w:val="1B2A32"/>
          <w:sz w:val="21"/>
        </w:rPr>
        <w:t>Developer Handoff Workbook</w:t>
      </w:r>
      <w:r>
        <w:rPr>
          <w:rFonts w:ascii="Calibri" w:hAnsi="Calibri"/>
          <w:b w:val="0"/>
          <w:i w:val="0"/>
          <w:color w:val="1B2A32"/>
          <w:sz w:val="21"/>
        </w:rPr>
        <w:t xml:space="preserve"> (sheet: 'Dispute Taxonomy'). Table 2 in Section 10 is the abbreviated view; the workbook is authoritative for the platform build.</w:t>
      </w:r>
    </w:p>
    <w:p>
      <w:pPr>
        <w:keepNext/>
        <w:spacing w:before="320" w:after="140"/>
        <w:pBdr>
          <w:bottom w:val="single" w:sz="12" w:space="3" w:color="C6A15B"/>
        </w:pBdr>
      </w:pPr>
      <w:r>
        <w:rPr>
          <w:rFonts w:ascii="Calibri" w:hAnsi="Calibri"/>
          <w:b/>
          <w:i w:val="0"/>
          <w:color w:val="123B4F"/>
          <w:sz w:val="34"/>
        </w:rPr>
        <w:t>Annexure C — Glossary</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2281"/>
            <w:shd w:val="clear" w:color="auto" w:fill="123B4F"/>
            <w:tcMar>
              <w:top w:w="60" w:type="dxa"/>
              <w:bottom w:w="60" w:type="dxa"/>
              <w:start w:w="110" w:type="dxa"/>
              <w:end w:w="110" w:type="dxa"/>
            </w:tcMar>
          </w:tcPr>
          <w:p>
            <w:pPr>
              <w:spacing w:after="0"/>
            </w:pPr>
            <w:r>
              <w:rPr>
                <w:rFonts w:ascii="Calibri" w:hAnsi="Calibri"/>
                <w:b/>
                <w:i w:val="0"/>
                <w:color w:val="FFFFFF"/>
                <w:sz w:val="17"/>
              </w:rPr>
              <w:t>Term</w:t>
            </w:r>
          </w:p>
        </w:tc>
        <w:tc>
          <w:tcPr>
            <w:tcW w:type="dxa" w:w="7223"/>
            <w:shd w:val="clear" w:color="auto" w:fill="123B4F"/>
            <w:tcMar>
              <w:top w:w="60" w:type="dxa"/>
              <w:bottom w:w="60" w:type="dxa"/>
              <w:start w:w="110" w:type="dxa"/>
              <w:end w:w="110" w:type="dxa"/>
            </w:tcMar>
          </w:tcPr>
          <w:p>
            <w:pPr>
              <w:spacing w:after="0"/>
            </w:pPr>
            <w:r>
              <w:rPr>
                <w:rFonts w:ascii="Calibri" w:hAnsi="Calibri"/>
                <w:b/>
                <w:i w:val="0"/>
                <w:color w:val="FFFFFF"/>
                <w:sz w:val="17"/>
              </w:rPr>
              <w:t>Meaning</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MSP</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Mediation Service Provider — the institution administering mediations (Equator)</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MSA</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Mediated Settlement Agreement — the written, authenticated settlement (s.19)</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MCI</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Mediation Council of India — the regulator under the Mediation Act, 2023</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Caucus</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 private session the mediator holds separately with one party</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Streedhan</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Property/gifts that are the wife's absolute own (distinct from dowry)</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Mahr / Dower</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The wife's contractual entitlement under a Muslim marriage</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Khula / Mubarat</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Wife-initiated / mutual divorce under Muslim law</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Hizanat</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Custody of young children under Muslim law, subject to welfare</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RCR</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Restitution of Conjugal Rights (HMA s.9)</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Compounding</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Formal settlement of a compoundable offence before court (s.359 BNSS)</w:t>
            </w:r>
          </w:p>
        </w:tc>
      </w:tr>
      <w:tr>
        <w:trPr>
          <w:trHeight w:val="0"/>
        </w:trPr>
        <w:tc>
          <w:tcPr>
            <w:tcW w:type="dxa" w:w="2281"/>
            <w:tcMar>
              <w:top w:w="60" w:type="dxa"/>
              <w:bottom w:w="60" w:type="dxa"/>
              <w:start w:w="110" w:type="dxa"/>
              <w:end w:w="110" w:type="dxa"/>
            </w:tcMar>
          </w:tcPr>
          <w:p>
            <w:pPr>
              <w:spacing w:after="0"/>
              <w:jc w:val="left"/>
            </w:pPr>
            <w:r>
              <w:rPr>
                <w:rFonts w:ascii="Calibri" w:hAnsi="Calibri"/>
                <w:b w:val="0"/>
                <w:i w:val="0"/>
                <w:color w:val="1B2A32"/>
                <w:sz w:val="17"/>
              </w:rPr>
              <w:t>Quashing</w:t>
            </w:r>
          </w:p>
        </w:tc>
        <w:tc>
          <w:tcPr>
            <w:tcW w:type="dxa" w:w="7223"/>
            <w:tcMar>
              <w:top w:w="60" w:type="dxa"/>
              <w:bottom w:w="60" w:type="dxa"/>
              <w:start w:w="110" w:type="dxa"/>
              <w:end w:w="110" w:type="dxa"/>
            </w:tcMar>
          </w:tcPr>
          <w:p>
            <w:pPr>
              <w:spacing w:after="0"/>
              <w:jc w:val="left"/>
            </w:pPr>
            <w:r>
              <w:rPr>
                <w:rFonts w:ascii="Calibri" w:hAnsi="Calibri"/>
                <w:b w:val="0"/>
                <w:i w:val="0"/>
                <w:color w:val="1B2A32"/>
                <w:sz w:val="17"/>
              </w:rPr>
              <w:t>High Court terminating an FIR/proceeding under its inherent power (s.528 BNSS)</w:t>
            </w:r>
          </w:p>
        </w:tc>
      </w:tr>
      <w:tr>
        <w:trPr>
          <w:trHeight w:val="0"/>
        </w:trPr>
        <w:tc>
          <w:tcPr>
            <w:tcW w:type="dxa" w:w="228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Data Fiduciary / Principal</w:t>
            </w:r>
          </w:p>
        </w:tc>
        <w:tc>
          <w:tcPr>
            <w:tcW w:type="dxa" w:w="7223"/>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The entity deciding data processing / the individual whose data it is (DPDP Act)</w:t>
            </w:r>
          </w:p>
        </w:tc>
      </w:tr>
    </w:tbl>
    <w:p>
      <w:pPr>
        <w:spacing w:after="80"/>
      </w:pPr>
    </w:p>
    <w:p>
      <w:pPr>
        <w:spacing w:before="20" w:after="200"/>
        <w:jc w:val="center"/>
      </w:pPr>
      <w:r>
        <w:rPr>
          <w:rFonts w:ascii="Calibri" w:hAnsi="Calibri"/>
          <w:b w:val="0"/>
          <w:i/>
          <w:color w:val="556168"/>
          <w:sz w:val="17"/>
        </w:rPr>
        <w:t>Table C-1 — Glossary of key terms.</w:t>
      </w:r>
    </w:p>
    <w:p>
      <w:pPr>
        <w:keepNext/>
        <w:spacing w:before="320" w:after="140"/>
        <w:pBdr>
          <w:bottom w:val="single" w:sz="12" w:space="3" w:color="C6A15B"/>
        </w:pBdr>
      </w:pPr>
      <w:r>
        <w:rPr>
          <w:rFonts w:ascii="Calibri" w:hAnsi="Calibri"/>
          <w:b/>
          <w:i w:val="0"/>
          <w:color w:val="123B4F"/>
          <w:sz w:val="34"/>
        </w:rPr>
        <w:t>Annexure D — Companion Deliverables</w:t>
      </w:r>
    </w:p>
    <w:p>
      <w:pPr>
        <w:pStyle w:val="ListBullet"/>
        <w:spacing w:after="60"/>
        <w:jc w:val="both"/>
      </w:pPr>
      <w:r>
        <w:rPr>
          <w:rFonts w:ascii="Calibri" w:hAnsi="Calibri"/>
          <w:b/>
          <w:i w:val="0"/>
          <w:color w:val="123B4F"/>
          <w:sz w:val="21"/>
        </w:rPr>
        <w:t xml:space="preserve">Forms (Part H): </w:t>
      </w:r>
      <w:r>
        <w:rPr>
          <w:rFonts w:ascii="Calibri" w:hAnsi="Calibri"/>
          <w:b w:val="0"/>
          <w:i w:val="0"/>
          <w:color w:val="1B2A32"/>
          <w:sz w:val="21"/>
        </w:rPr>
        <w:t>all 29 forms (F-01 to F-29) are reproduced in full in Part H of this Blueprint; the same set is delivered as individual, ready-to-use documents in the archived 'Forms Pack' folder.</w:t>
      </w:r>
    </w:p>
    <w:p>
      <w:pPr>
        <w:pStyle w:val="ListBullet"/>
        <w:spacing w:after="60"/>
        <w:jc w:val="both"/>
      </w:pPr>
      <w:r>
        <w:rPr>
          <w:rFonts w:ascii="Calibri" w:hAnsi="Calibri"/>
          <w:b/>
          <w:i w:val="0"/>
          <w:color w:val="123B4F"/>
          <w:sz w:val="21"/>
        </w:rPr>
        <w:t xml:space="preserve">Developer Handoff Workbook: </w:t>
      </w:r>
      <w:r>
        <w:rPr>
          <w:rFonts w:ascii="Calibri" w:hAnsi="Calibri"/>
          <w:b w:val="0"/>
          <w:i w:val="0"/>
          <w:color w:val="1B2A32"/>
          <w:sz w:val="21"/>
        </w:rPr>
        <w:t>Excel workbook with dropdown taxonomies, dispute taxonomy, form field schemas, mediator filters, workflow states, SLAs, a data model, API endpoints, a role×state permissions matrix, a notification matrix and an integrations list — the build source of truth, with live data-validation dropdowns.</w:t>
      </w:r>
    </w:p>
    <w:p>
      <w:pPr>
        <w:pStyle w:val="ListBullet"/>
        <w:spacing w:after="60"/>
        <w:jc w:val="both"/>
      </w:pPr>
      <w:r>
        <w:rPr>
          <w:rFonts w:ascii="Calibri" w:hAnsi="Calibri"/>
          <w:b/>
          <w:i w:val="0"/>
          <w:color w:val="123B4F"/>
          <w:sz w:val="21"/>
        </w:rPr>
        <w:t xml:space="preserve">Workflow Diagram Set: </w:t>
      </w:r>
      <w:r>
        <w:rPr>
          <w:rFonts w:ascii="Calibri" w:hAnsi="Calibri"/>
          <w:b w:val="0"/>
          <w:i w:val="0"/>
          <w:color w:val="1B2A32"/>
          <w:sz w:val="21"/>
        </w:rPr>
        <w:t>twelve high-resolution diagrams (master workflow, triage, initiation/response, mediator selection, settlement/escrow, criminal quashing, DPDP lifecycle, timeline, cost-vs-litigation, data model, AI Dispute Explorer, and court integration), provided as PNG and editable SVG in the 'Workflow Diagrams' folder.</w:t>
      </w:r>
    </w:p>
    <w:p>
      <w:pPr>
        <w:spacing w:after="40"/>
      </w:pPr>
    </w:p>
    <w:p>
      <w:pPr>
        <w:spacing w:after="140"/>
        <w:jc w:val="both"/>
      </w:pPr>
      <w:r>
        <w:rPr>
          <w:rFonts w:ascii="Calibri" w:hAnsi="Calibri"/>
          <w:b w:val="0"/>
          <w:i w:val="0"/>
          <w:color w:val="1B2A32"/>
          <w:sz w:val="21"/>
        </w:rPr>
        <w:t>Together with this Master Blueprint, these assets constitute the complete design package for Equator Resolution's Marital &amp; Family Dispute Resolution vertical.</w:t>
      </w:r>
    </w:p>
    <w:p>
      <w:pPr>
        <w:keepNext/>
        <w:spacing w:before="320" w:after="140"/>
        <w:pBdr>
          <w:bottom w:val="single" w:sz="12" w:space="3" w:color="C6A15B"/>
        </w:pBdr>
      </w:pPr>
      <w:r>
        <w:rPr>
          <w:rFonts w:ascii="Calibri" w:hAnsi="Calibri"/>
          <w:b/>
          <w:i w:val="0"/>
          <w:color w:val="123B4F"/>
          <w:sz w:val="34"/>
        </w:rPr>
        <w:t>Annexure E — Model Clause Library</w:t>
      </w:r>
    </w:p>
    <w:p>
      <w:pPr>
        <w:spacing w:after="140"/>
        <w:jc w:val="both"/>
      </w:pPr>
      <w:r>
        <w:rPr>
          <w:rFonts w:ascii="Calibri" w:hAnsi="Calibri"/>
          <w:b w:val="0"/>
          <w:i w:val="0"/>
          <w:color w:val="1B2A32"/>
          <w:sz w:val="21"/>
        </w:rPr>
        <w:t>Ready-to-adapt clauses for the Mediated Settlement Agreement (F-10). These are drafting aids; the operative wording must be tailored to the facts and the governing personal law, and reviewed by counsel before execution. Bracketed items […] are to be completed.</w:t>
      </w: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1 — MUTUAL-CONSENT DISSOLUTION (RECITAL)</w:t>
            </w:r>
          </w:p>
          <w:p>
            <w:pPr>
              <w:jc w:val="both"/>
            </w:pPr>
            <w:r>
              <w:rPr>
                <w:rFonts w:ascii="Calibri" w:hAnsi="Calibri"/>
                <w:b w:val="0"/>
                <w:i w:val="0"/>
                <w:color w:val="1B2A32"/>
                <w:sz w:val="20"/>
              </w:rPr>
              <w:t>The parties, married on […] under the […] Act and living separately since […], having freely and without coercion resolved their differences through mediation, agree to seek dissolution of their marriage by mutual consent, and shall file and diligently prosecute a joint petition to that end, seeking waiver of the statutory cooling-off period on the ground of their long separation and complete settlement.</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2 — MAINTENANCE / ONE-TIME SETTLEMENT</w:t>
            </w:r>
          </w:p>
          <w:p>
            <w:pPr>
              <w:jc w:val="both"/>
            </w:pPr>
            <w:r>
              <w:rPr>
                <w:rFonts w:ascii="Calibri" w:hAnsi="Calibri"/>
                <w:b w:val="0"/>
                <w:i w:val="0"/>
                <w:color w:val="1B2A32"/>
                <w:sz w:val="20"/>
              </w:rPr>
              <w:t>In full and final settlement of all claims to maintenance, alimony and support (past, present and future), Party 1 shall pay Party 2 a one-time sum of ₹[…] (or ₹[…] per month for […]), routed through the Equator escrow account and released per the schedule at Clause 5. On receipt, Party 2 waives all further claims to maintenance under any law, save for the children's maintenance at Clause 3.</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3 — CHILD MAINTENANCE, CUSTODY &amp; PARENTING</w:t>
            </w:r>
          </w:p>
          <w:p>
            <w:pPr>
              <w:jc w:val="both"/>
            </w:pPr>
            <w:r>
              <w:rPr>
                <w:rFonts w:ascii="Calibri" w:hAnsi="Calibri"/>
                <w:b w:val="0"/>
                <w:i w:val="0"/>
                <w:color w:val="1B2A32"/>
                <w:sz w:val="20"/>
              </w:rPr>
              <w:t>The welfare of the child[ren] being paramount, the parties adopt the Parenting Plan (F-17) annexed hereto, providing for [physical/legal/joint] custody, the access schedule, schooling, medical decisions, travel and the child's passport. Party […] shall pay ₹[…] per month toward the child[ren]'s maintenance and education, revisable by agreement or return to mediation.</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4 — PROPERTY, STREEDHAN &amp; MAHR</w:t>
            </w:r>
          </w:p>
          <w:p>
            <w:pPr>
              <w:jc w:val="both"/>
            </w:pPr>
            <w:r>
              <w:rPr>
                <w:rFonts w:ascii="Calibri" w:hAnsi="Calibri"/>
                <w:b w:val="0"/>
                <w:i w:val="0"/>
                <w:color w:val="1B2A32"/>
                <w:sz w:val="20"/>
              </w:rPr>
              <w:t>Party 1 shall return to Party 2 all streedhan and articles listed in Schedule […] (the same being Party 2's absolute property), and the parties shall deal with the matrimonial home and other assets as set out in Schedule […]. [For Muslim marriages: the deferred mahr of ₹[…] shall be paid as at Clause 5.]</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5 — ESCROW &amp; CONDITIONAL RELEASE</w:t>
            </w:r>
          </w:p>
          <w:p>
            <w:pPr>
              <w:jc w:val="both"/>
            </w:pPr>
            <w:r>
              <w:rPr>
                <w:rFonts w:ascii="Calibri" w:hAnsi="Calibri"/>
                <w:b w:val="0"/>
                <w:i w:val="0"/>
                <w:color w:val="1B2A32"/>
                <w:sz w:val="20"/>
              </w:rPr>
              <w:t>The settlement sum shall be deposited by Party 1 into the Equator escrow account with […] Bank and released as follows: (a) ₹[…] on the first motion of the joint divorce petition; (b) ₹[…] on withdrawal / quashing of FIR No. […]; (c) balance on the decree and handover of streedhan and the keys to the matrimonial home. If a milestone is not met by […], the funds shall be [held / refunded] as provided.</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6 — CRIMINAL PROCEEDINGS: MUTUAL NON-PROSECUTION</w:t>
            </w:r>
          </w:p>
          <w:p>
            <w:pPr>
              <w:jc w:val="both"/>
            </w:pPr>
            <w:r>
              <w:rPr>
                <w:rFonts w:ascii="Calibri" w:hAnsi="Calibri"/>
                <w:b w:val="0"/>
                <w:i w:val="0"/>
                <w:color w:val="1B2A32"/>
                <w:sz w:val="20"/>
              </w:rPr>
              <w:t>The parties having genuinely settled their private matrimonial disputes, they shall jointly move to compound (s.359 BNSS) or to quash (s.528 BNSS) the proceedings listed in F-12, cooperate fully in the filings, and each covenants not to initiate or pursue any further complaint on the settled matters. Nothing herein applies to any non-compoundable offence of a public character that the law does not permit to be closed on settlement.</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7 — CONFIDENTIALITY &amp; NON-DISPARAGEMENT</w:t>
            </w:r>
          </w:p>
          <w:p>
            <w:pPr>
              <w:jc w:val="both"/>
            </w:pPr>
            <w:r>
              <w:rPr>
                <w:rFonts w:ascii="Calibri" w:hAnsi="Calibri"/>
                <w:b w:val="0"/>
                <w:i w:val="0"/>
                <w:color w:val="1B2A32"/>
                <w:sz w:val="20"/>
              </w:rPr>
              <w:t>The parties shall keep the terms of this settlement confidential and shall not publish or make any disparaging statement about the other (including online) concerning the marriage or its dissolution.</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8 — FULL &amp; FINAL SETTLEMENT / ENFORCEABILITY</w:t>
            </w:r>
          </w:p>
          <w:p>
            <w:pPr>
              <w:jc w:val="both"/>
            </w:pPr>
            <w:r>
              <w:rPr>
                <w:rFonts w:ascii="Calibri" w:hAnsi="Calibri"/>
                <w:b w:val="0"/>
                <w:i w:val="0"/>
                <w:color w:val="1B2A32"/>
                <w:sz w:val="20"/>
              </w:rPr>
              <w:t>This Agreement is in full and final settlement of all disputes between the parties save as expressly reserved; it has been entered into voluntarily and without coercion, fraud or undue influence; and, once authenticated and registered under the Mediation Act, 2023, it is binding and enforceable as a decree (s.27), challengeable only under s.28.</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9 — BREACH &amp; RETURN TO MEDIATION</w:t>
            </w:r>
          </w:p>
          <w:p>
            <w:pPr>
              <w:jc w:val="both"/>
            </w:pPr>
            <w:r>
              <w:rPr>
                <w:rFonts w:ascii="Calibri" w:hAnsi="Calibri"/>
                <w:b w:val="0"/>
                <w:i w:val="0"/>
                <w:color w:val="1B2A32"/>
                <w:sz w:val="20"/>
              </w:rPr>
              <w:t>If either party fails to comply with any term, the aggrieved party shall first give [7] days' written notice; failing cure, the parties shall return to Equator Resolution for a mediated review before commencing execution or other proceedings. This clause does not limit the right to enforce the registered Agreement as a decree under s.27 of the Mediation Act, 2023.</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10 — VARIATION ON CHANGED CIRCUMSTANCES</w:t>
            </w:r>
          </w:p>
          <w:p>
            <w:pPr>
              <w:jc w:val="both"/>
            </w:pPr>
            <w:r>
              <w:rPr>
                <w:rFonts w:ascii="Calibri" w:hAnsi="Calibri"/>
                <w:b w:val="0"/>
                <w:i w:val="0"/>
                <w:color w:val="1B2A32"/>
                <w:sz w:val="20"/>
              </w:rPr>
              <w:t>If there is a material change in circumstances (for example, a significant change in income, the loss of employment, relocation, or a change in a child's needs), either party may seek variation of the maintenance / parenting terms by returning to mediation before applying to court; the parties will negotiate any variation in good faith and in the child's best interests.</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11 — INDEPENDENT LEGAL ADVICE</w:t>
            </w:r>
          </w:p>
          <w:p>
            <w:pPr>
              <w:jc w:val="both"/>
            </w:pPr>
            <w:r>
              <w:rPr>
                <w:rFonts w:ascii="Calibri" w:hAnsi="Calibri"/>
                <w:b w:val="0"/>
                <w:i w:val="0"/>
                <w:color w:val="1B2A32"/>
                <w:sz w:val="20"/>
              </w:rPr>
              <w:t>Each party confirms that they were advised of, and had the opportunity to obtain, independent legal advice on this Agreement, and that they enter into it freely, with understanding, and without coercion, fraud or undue influence (see the ILA Certificate, Form F-27).</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12 — COOLING-OFF / REFLECTION</w:t>
            </w:r>
          </w:p>
          <w:p>
            <w:pPr>
              <w:jc w:val="both"/>
            </w:pPr>
            <w:r>
              <w:rPr>
                <w:rFonts w:ascii="Calibri" w:hAnsi="Calibri"/>
                <w:b w:val="0"/>
                <w:i w:val="0"/>
                <w:color w:val="1B2A32"/>
                <w:sz w:val="20"/>
              </w:rPr>
              <w:t>The parties acknowledge a reflection period of [__] days before this Agreement is treated as final, during which either party may seek clarification; this protects the voluntariness of the settlement and is without prejudice to the statutory timelines.</w:t>
            </w:r>
          </w:p>
        </w:tc>
      </w:tr>
    </w:tbl>
    <w:p>
      <w:pPr>
        <w:spacing w:after="120"/>
      </w:pPr>
    </w:p>
    <w:tbl>
      <w:tblPr>
        <w:tblW w:type="auto" w:w="0"/>
        <w:jc w:val="center"/>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90" w:type="dxa"/>
              <w:bottom w:w="90" w:type="dxa"/>
              <w:start w:w="140" w:type="dxa"/>
              <w:end w:w="140" w:type="dxa"/>
            </w:tcMar>
            <w:tcBorders>
              <w:start w:val="single" w:sz="26" w:space="0" w:color="C6A15B"/>
            </w:tcBorders>
          </w:tcPr>
          <w:p>
            <w:pPr>
              <w:spacing w:after="40"/>
            </w:pPr>
            <w:r>
              <w:rPr>
                <w:rFonts w:ascii="Calibri" w:hAnsi="Calibri"/>
                <w:b/>
                <w:i w:val="0"/>
                <w:color w:val="123B4F"/>
                <w:sz w:val="19"/>
              </w:rPr>
              <w:t>CLAUSE 13 — ESCROW-BACKED RECURRING MAINTENANCE</w:t>
            </w:r>
          </w:p>
          <w:p>
            <w:pPr>
              <w:jc w:val="both"/>
            </w:pPr>
            <w:r>
              <w:rPr>
                <w:rFonts w:ascii="Calibri" w:hAnsi="Calibri"/>
                <w:b w:val="0"/>
                <w:i w:val="0"/>
                <w:color w:val="1B2A32"/>
                <w:sz w:val="20"/>
              </w:rPr>
              <w:t>Recurring maintenance of ₹[…] per month shall be paid by standing instruction / auto-debit on or before the [__] of each month; [n] months' maintenance shall be held in the Equator escrow account as security, to be applied toward any missed instalment and replenished by the payer, for the protection of the payee and the child[ren].</w:t>
            </w:r>
          </w:p>
        </w:tc>
      </w:tr>
    </w:tbl>
    <w:p>
      <w:pPr>
        <w:spacing w:after="120"/>
      </w:pP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These are templates, not advice. Personal-law nuances (e.g., mahr, iddat, Christian two-year separation) and the enforceability of each term must be confirmed by counsel for the specific matter before signing.</w:t>
            </w:r>
          </w:p>
        </w:tc>
      </w:tr>
    </w:tbl>
    <w:p>
      <w:pPr>
        <w:spacing w:after="120"/>
      </w:pPr>
    </w:p>
    <w:p>
      <w:r>
        <w:br w:type="page"/>
      </w:r>
    </w:p>
    <w:p>
      <w:pPr>
        <w:spacing w:before="600" w:after="40"/>
      </w:pPr>
      <w:r>
        <w:rPr>
          <w:rFonts w:ascii="Calibri" w:hAnsi="Calibri"/>
          <w:b/>
          <w:i w:val="0"/>
          <w:color w:val="C6A15B"/>
          <w:sz w:val="26"/>
        </w:rPr>
        <w:t>PART H</w:t>
      </w:r>
    </w:p>
    <w:p>
      <w:pPr>
        <w:spacing w:after="200"/>
        <w:pBdr>
          <w:bottom w:val="single" w:sz="18" w:space="3" w:color="1E7A8C"/>
        </w:pBdr>
      </w:pPr>
      <w:r>
        <w:rPr>
          <w:rFonts w:ascii="Calibri" w:hAnsi="Calibri"/>
          <w:b/>
          <w:i w:val="0"/>
          <w:color w:val="123B4F"/>
          <w:sz w:val="46"/>
        </w:rPr>
        <w:t>The Forms (Full Text)</w:t>
      </w:r>
    </w:p>
    <w:p>
      <w:pPr>
        <w:spacing w:after="140"/>
        <w:jc w:val="both"/>
      </w:pPr>
      <w:r>
        <w:rPr>
          <w:rFonts w:ascii="Calibri" w:hAnsi="Calibri"/>
          <w:b w:val="0"/>
          <w:i w:val="0"/>
          <w:color w:val="1B2A32"/>
          <w:sz w:val="21"/>
        </w:rPr>
        <w:t>This Part reproduces every Equator Resolution family form in full, ready to lift into the platform or print for use. The forms are numbered F-01 to F-23 and correspond to the stages of the workflow in Part C. Fields shown blank are for completion by the party, mediator or case manager as indicated. The same set is also delivered as individual documents in the archived Forms Pack folder.</w:t>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Onboarding, KYC &amp; Data-Protection Consent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F-01</w:t>
            </w:r>
          </w:p>
        </w:tc>
      </w:tr>
    </w:tbl>
    <w:p>
      <w:pPr>
        <w:spacing w:after="80"/>
      </w:pPr>
      <w:r>
        <w:rPr>
          <w:rFonts w:ascii="Calibri" w:hAnsi="Calibri"/>
          <w:b w:val="0"/>
          <w:i/>
          <w:color w:val="556168"/>
          <w:sz w:val="18"/>
        </w:rPr>
        <w:t>Complete this form to create your account and record your consent under the Digital Personal Data Protection Act, 2023.</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PARTY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Full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Father's / Spouse's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Gender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birth</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Residential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District &amp; State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PIN code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Alternative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ID type &amp; number (Aadhaar / PAN / Passport)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60" w:type="dxa"/>
              <w:bottom w:w="60" w:type="dxa"/>
              <w:start w:w="120" w:type="dxa"/>
              <w:end w:w="120" w:type="dxa"/>
            </w:tcMar>
          </w:tcPr>
          <w:p>
            <w:pPr>
              <w:spacing w:after="0"/>
            </w:pPr>
            <w:r>
              <w:rPr>
                <w:rFonts w:ascii="Calibri" w:hAnsi="Calibri"/>
                <w:b w:val="0"/>
                <w:i/>
                <w:color w:val="1B2A32"/>
                <w:sz w:val="17"/>
              </w:rPr>
              <w:t>Specimen: Full name — Priya Sharma; Role — Applicant; Regime — Hindu (HMA 1955); Mobile — 9XXXXXXXXX; ID — Aadhaar XXXX-XXXX-1234.</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YOUR ROLE &amp; MARRIAGE DETAILS</w:t>
            </w:r>
          </w:p>
        </w:tc>
      </w:tr>
    </w:tbl>
    <w:p>
      <w:pPr>
        <w:spacing w:after="20"/>
      </w:pPr>
    </w:p>
    <w:p>
      <w:pPr>
        <w:spacing w:after="20"/>
      </w:pPr>
      <w:r>
        <w:rPr>
          <w:rFonts w:ascii="Calibri" w:hAnsi="Calibri"/>
          <w:b/>
          <w:i w:val="0"/>
          <w:color w:val="123B4F"/>
          <w:sz w:val="18"/>
        </w:rPr>
        <w:t>Role: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I am the Applicant (initiating)</w:t>
            </w:r>
          </w:p>
        </w:tc>
        <w:tc>
          <w:tcPr>
            <w:tcW w:type="dxa" w:w="4752"/>
            <w:tcMar>
              <w:top w:w="16" w:type="dxa"/>
              <w:bottom w:w="16" w:type="dxa"/>
              <w:start w:w="30" w:type="dxa"/>
              <w:end w:w="70" w:type="dxa"/>
            </w:tcMar>
          </w:tcPr>
          <w:p>
            <w:pPr>
              <w:spacing w:after="0"/>
            </w:pPr>
            <w:r>
              <w:rPr>
                <w:rFonts w:ascii="Calibri" w:hAnsi="Calibri"/>
                <w:b w:val="0"/>
                <w:i w:val="0"/>
                <w:color w:val="1B2A32"/>
                <w:sz w:val="18"/>
              </w:rPr>
              <w:t>☐  I am the Respondent (responding)</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marriage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Place of marriage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Marriage registration no.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Marriage regime (see list below)</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Are you an NRI / OCI? If yes, country of residence</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Marriage regime: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Hindu / Buddhist / Jain / Sikh (HMA 1955)</w:t>
            </w:r>
          </w:p>
        </w:tc>
        <w:tc>
          <w:tcPr>
            <w:tcW w:type="dxa" w:w="4752"/>
            <w:tcMar>
              <w:top w:w="16" w:type="dxa"/>
              <w:bottom w:w="16" w:type="dxa"/>
              <w:start w:w="30" w:type="dxa"/>
              <w:end w:w="70" w:type="dxa"/>
            </w:tcMar>
          </w:tcPr>
          <w:p>
            <w:pPr>
              <w:spacing w:after="0"/>
            </w:pPr>
            <w:r>
              <w:rPr>
                <w:rFonts w:ascii="Calibri" w:hAnsi="Calibri"/>
                <w:b w:val="0"/>
                <w:i w:val="0"/>
                <w:color w:val="1B2A32"/>
                <w:sz w:val="18"/>
              </w:rPr>
              <w:t>☐  Inter-faith / Civil (SMA 1954)</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Muslim (Mohammedan law)</w:t>
            </w:r>
          </w:p>
        </w:tc>
        <w:tc>
          <w:tcPr>
            <w:tcW w:type="dxa" w:w="4752"/>
            <w:tcMar>
              <w:top w:w="16" w:type="dxa"/>
              <w:bottom w:w="16" w:type="dxa"/>
              <w:start w:w="30" w:type="dxa"/>
              <w:end w:w="70" w:type="dxa"/>
            </w:tcMar>
          </w:tcPr>
          <w:p>
            <w:pPr>
              <w:spacing w:after="0"/>
            </w:pPr>
            <w:r>
              <w:rPr>
                <w:rFonts w:ascii="Calibri" w:hAnsi="Calibri"/>
                <w:b w:val="0"/>
                <w:i w:val="0"/>
                <w:color w:val="1B2A32"/>
                <w:sz w:val="18"/>
              </w:rPr>
              <w:t>☐  Christian (Divorce Act 1869)</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Parsi (1936 Act)</w:t>
            </w:r>
          </w:p>
        </w:tc>
        <w:tc>
          <w:tcPr>
            <w:tcW w:type="dxa" w:w="4752"/>
            <w:tcMar>
              <w:top w:w="16" w:type="dxa"/>
              <w:bottom w:w="16" w:type="dxa"/>
              <w:start w:w="30" w:type="dxa"/>
              <w:end w:w="70" w:type="dxa"/>
            </w:tcMar>
          </w:tcPr>
          <w:p>
            <w:pPr>
              <w:spacing w:after="0"/>
            </w:pPr>
            <w:r>
              <w:rPr>
                <w:rFonts w:ascii="Calibri" w:hAnsi="Calibri"/>
                <w:b w:val="0"/>
                <w:i w:val="0"/>
                <w:color w:val="1B2A32"/>
                <w:sz w:val="18"/>
              </w:rPr>
              <w:t>☐  NRI / Overseas marriage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Inter-caste (HMA / SMA)</w:t>
            </w:r>
          </w:p>
        </w:tc>
        <w:tc>
          <w:tcPr>
            <w:tcW w:type="dxa" w:w="4752"/>
            <w:tcMar>
              <w:top w:w="16" w:type="dxa"/>
              <w:bottom w:w="16" w:type="dxa"/>
              <w:start w:w="30" w:type="dxa"/>
              <w:end w:w="70" w:type="dxa"/>
            </w:tcMar>
          </w:tcPr>
          <w:p>
            <w:pPr>
              <w:spacing w:after="0"/>
            </w:pPr>
            <w:r>
              <w:rPr>
                <w:rFonts w:ascii="Calibri" w:hAnsi="Calibri"/>
                <w:b w:val="0"/>
                <w:i w:val="0"/>
                <w:color w:val="1B2A32"/>
                <w:sz w:val="18"/>
              </w:rPr>
              <w:t>☐  Live-in / relationship in nature of marriage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IDENTITY VERIFICATION (KYC)</w:t>
            </w:r>
          </w:p>
        </w:tc>
      </w:tr>
    </w:tbl>
    <w:p>
      <w:pPr>
        <w:spacing w:after="20"/>
      </w:pPr>
    </w:p>
    <w:p>
      <w:pPr>
        <w:spacing w:after="80"/>
        <w:jc w:val="both"/>
      </w:pPr>
      <w:r>
        <w:rPr>
          <w:rFonts w:ascii="Calibri" w:hAnsi="Calibri"/>
          <w:b w:val="0"/>
          <w:i w:val="0"/>
          <w:color w:val="1B2A32"/>
          <w:sz w:val="19"/>
        </w:rPr>
        <w:t>Identity is verified through Aadhaar-based e-KYC / OTP, or by upload of a government photo ID with a liveness check. NRI users are verified via passport / OCI and a short video verification.</w:t>
      </w:r>
    </w:p>
    <w:p>
      <w:pPr>
        <w:spacing w:after="20"/>
      </w:pPr>
      <w:r>
        <w:rPr>
          <w:rFonts w:ascii="Calibri" w:hAnsi="Calibri"/>
          <w:b/>
          <w:i w:val="0"/>
          <w:color w:val="123B4F"/>
          <w:sz w:val="18"/>
        </w:rPr>
        <w:t>Verification method: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Aadhaar e-KYC / OTP completed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Government photo ID uploaded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Video verification (NRI) completed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DATA-PROTECTION NOTICE &amp; CONSENT (DPDP Act, 2023)</w:t>
            </w:r>
          </w:p>
        </w:tc>
      </w:tr>
    </w:tbl>
    <w:p>
      <w:pPr>
        <w:spacing w:after="20"/>
      </w:pPr>
    </w:p>
    <w:p>
      <w:pPr>
        <w:spacing w:after="80"/>
        <w:jc w:val="both"/>
      </w:pPr>
      <w:r>
        <w:rPr>
          <w:rFonts w:ascii="Calibri" w:hAnsi="Calibri"/>
          <w:b/>
          <w:i w:val="0"/>
          <w:color w:val="1B2A32"/>
          <w:sz w:val="19"/>
        </w:rPr>
        <w:t>Purpose:</w:t>
      </w:r>
      <w:r>
        <w:rPr>
          <w:rFonts w:ascii="Calibri" w:hAnsi="Calibri"/>
          <w:b w:val="0"/>
          <w:i w:val="0"/>
          <w:color w:val="1B2A32"/>
          <w:sz w:val="19"/>
        </w:rPr>
        <w:t xml:space="preserve"> your personal data is collected and processed solely to administer your mediation — case management, communication, mediator matching, drafting and registration of any settlement, escrow of any settlement funds, and statutory compliance. </w:t>
      </w:r>
      <w:r>
        <w:rPr>
          <w:rFonts w:ascii="Calibri" w:hAnsi="Calibri"/>
          <w:b/>
          <w:i w:val="0"/>
          <w:color w:val="1B2A32"/>
          <w:sz w:val="19"/>
        </w:rPr>
        <w:t>Data categories:</w:t>
      </w:r>
      <w:r>
        <w:rPr>
          <w:rFonts w:ascii="Calibri" w:hAnsi="Calibri"/>
          <w:b w:val="0"/>
          <w:i w:val="0"/>
          <w:color w:val="1B2A32"/>
          <w:sz w:val="19"/>
        </w:rPr>
        <w:t xml:space="preserve"> identity and contact details, marriage and dispute information, financial details (where relevant), and information about any children (with verifiable parental consent). </w:t>
      </w:r>
      <w:r>
        <w:rPr>
          <w:rFonts w:ascii="Calibri" w:hAnsi="Calibri"/>
          <w:b/>
          <w:i w:val="0"/>
          <w:color w:val="1B2A32"/>
          <w:sz w:val="19"/>
        </w:rPr>
        <w:t>Retention:</w:t>
      </w:r>
      <w:r>
        <w:rPr>
          <w:rFonts w:ascii="Calibri" w:hAnsi="Calibri"/>
          <w:b w:val="0"/>
          <w:i w:val="0"/>
          <w:color w:val="1B2A32"/>
          <w:sz w:val="19"/>
        </w:rPr>
        <w:t xml:space="preserve"> data is retained only for as long as the purpose and law require, then securely erased. </w:t>
      </w:r>
      <w:r>
        <w:rPr>
          <w:rFonts w:ascii="Calibri" w:hAnsi="Calibri"/>
          <w:b/>
          <w:i w:val="0"/>
          <w:color w:val="1B2A32"/>
          <w:sz w:val="19"/>
        </w:rPr>
        <w:t>Your rights:</w:t>
      </w:r>
      <w:r>
        <w:rPr>
          <w:rFonts w:ascii="Calibri" w:hAnsi="Calibri"/>
          <w:b w:val="0"/>
          <w:i w:val="0"/>
          <w:color w:val="1B2A32"/>
          <w:sz w:val="19"/>
        </w:rPr>
        <w:t xml:space="preserve"> access, correction, erasure, withdrawal of consent, nomination, and grievance redress.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have read the data-protection notice and give my </w:t>
      </w:r>
      <w:r>
        <w:rPr>
          <w:rFonts w:ascii="Calibri" w:hAnsi="Calibri"/>
          <w:b/>
          <w:i w:val="0"/>
          <w:color w:val="1B2A32"/>
          <w:sz w:val="18"/>
        </w:rPr>
        <w:t>free, specific, informed and withdrawable consent</w:t>
      </w:r>
      <w:r>
        <w:rPr>
          <w:rFonts w:ascii="Calibri" w:hAnsi="Calibri"/>
          <w:b w:val="0"/>
          <w:i w:val="0"/>
          <w:color w:val="1B2A32"/>
          <w:sz w:val="18"/>
        </w:rPr>
        <w:t xml:space="preserve"> to Equator Resolution processing my personal data for the stated purposes.</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Where any information relates to a </w:t>
      </w:r>
      <w:r>
        <w:rPr>
          <w:rFonts w:ascii="Calibri" w:hAnsi="Calibri"/>
          <w:b/>
          <w:i w:val="0"/>
          <w:color w:val="1B2A32"/>
          <w:sz w:val="18"/>
        </w:rPr>
        <w:t>child</w:t>
      </w:r>
      <w:r>
        <w:rPr>
          <w:rFonts w:ascii="Calibri" w:hAnsi="Calibri"/>
          <w:b w:val="0"/>
          <w:i w:val="0"/>
          <w:color w:val="1B2A32"/>
          <w:sz w:val="18"/>
        </w:rPr>
        <w:t>, I confirm I am the parent / lawful guardian and consent on the child's behalf.</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I can withdraw consent and exercise my rights via the Data Grievance Officer, and that withdrawal may affect Equator's ability to continue the mediation.</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provided is true and correct to the best of my knowledge.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Verified by (Equator)</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Grievance Officer: grievance@equatorresolution.com. Equator Resolution acts as a Data Fiduciary under the DPDP Act, 2023 and DPDP Rules, 2025.</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Request for Mediation (Family)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F-02</w:t>
            </w:r>
          </w:p>
        </w:tc>
      </w:tr>
    </w:tbl>
    <w:p>
      <w:pPr>
        <w:spacing w:after="80"/>
      </w:pPr>
      <w:r>
        <w:rPr>
          <w:rFonts w:ascii="Calibri" w:hAnsi="Calibri"/>
          <w:b w:val="0"/>
          <w:i/>
          <w:color w:val="556168"/>
          <w:sz w:val="18"/>
        </w:rPr>
        <w:t>To be filed by the spouse initiating mediation. Either husband or wife may initiate.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NATURE OF THE DISPUTE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Marriage regime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Approx. value of financial claim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Are children involved? (number, ages)</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Dispute type(s):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Divorce &amp; Dissolution</w:t>
            </w:r>
          </w:p>
        </w:tc>
        <w:tc>
          <w:tcPr>
            <w:tcW w:type="dxa" w:w="4752"/>
            <w:tcMar>
              <w:top w:w="16" w:type="dxa"/>
              <w:bottom w:w="16" w:type="dxa"/>
              <w:start w:w="30" w:type="dxa"/>
              <w:end w:w="70" w:type="dxa"/>
            </w:tcMar>
          </w:tcPr>
          <w:p>
            <w:pPr>
              <w:spacing w:after="0"/>
            </w:pPr>
            <w:r>
              <w:rPr>
                <w:rFonts w:ascii="Calibri" w:hAnsi="Calibri"/>
                <w:b w:val="0"/>
                <w:i w:val="0"/>
                <w:color w:val="1B2A32"/>
                <w:sz w:val="18"/>
              </w:rPr>
              <w:t>☐  Judicial Separation / RCR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Maintenance &amp; Alimony</w:t>
            </w:r>
          </w:p>
        </w:tc>
        <w:tc>
          <w:tcPr>
            <w:tcW w:type="dxa" w:w="4752"/>
            <w:tcMar>
              <w:top w:w="16" w:type="dxa"/>
              <w:bottom w:w="16" w:type="dxa"/>
              <w:start w:w="30" w:type="dxa"/>
              <w:end w:w="70" w:type="dxa"/>
            </w:tcMar>
          </w:tcPr>
          <w:p>
            <w:pPr>
              <w:spacing w:after="0"/>
            </w:pPr>
            <w:r>
              <w:rPr>
                <w:rFonts w:ascii="Calibri" w:hAnsi="Calibri"/>
                <w:b w:val="0"/>
                <w:i w:val="0"/>
                <w:color w:val="1B2A32"/>
                <w:sz w:val="18"/>
              </w:rPr>
              <w:t>☐  Child Custody &amp; Guardianship</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Property, Streedhan &amp; Mahr</w:t>
            </w:r>
          </w:p>
        </w:tc>
        <w:tc>
          <w:tcPr>
            <w:tcW w:type="dxa" w:w="4752"/>
            <w:tcMar>
              <w:top w:w="16" w:type="dxa"/>
              <w:bottom w:w="16" w:type="dxa"/>
              <w:start w:w="30" w:type="dxa"/>
              <w:end w:w="70" w:type="dxa"/>
            </w:tcMar>
          </w:tcPr>
          <w:p>
            <w:pPr>
              <w:spacing w:after="0"/>
            </w:pPr>
            <w:r>
              <w:rPr>
                <w:rFonts w:ascii="Calibri" w:hAnsi="Calibri"/>
                <w:b w:val="0"/>
                <w:i w:val="0"/>
                <w:color w:val="1B2A32"/>
                <w:sz w:val="18"/>
              </w:rPr>
              <w:t>☐  Domestic Violence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Dowry &amp; Cruelty</w:t>
            </w:r>
          </w:p>
        </w:tc>
        <w:tc>
          <w:tcPr>
            <w:tcW w:type="dxa" w:w="4752"/>
            <w:tcMar>
              <w:top w:w="16" w:type="dxa"/>
              <w:bottom w:w="16" w:type="dxa"/>
              <w:start w:w="30" w:type="dxa"/>
              <w:end w:w="70" w:type="dxa"/>
            </w:tcMar>
          </w:tcPr>
          <w:p>
            <w:pPr>
              <w:spacing w:after="0"/>
            </w:pPr>
            <w:r>
              <w:rPr>
                <w:rFonts w:ascii="Calibri" w:hAnsi="Calibri"/>
                <w:b w:val="0"/>
                <w:i w:val="0"/>
                <w:color w:val="1B2A32"/>
                <w:sz w:val="18"/>
              </w:rPr>
              <w:t>☐  Criminal cross-complaints / FIR closure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Extramarital affair / Adultery</w:t>
            </w:r>
          </w:p>
        </w:tc>
        <w:tc>
          <w:tcPr>
            <w:tcW w:type="dxa" w:w="4752"/>
            <w:tcMar>
              <w:top w:w="16" w:type="dxa"/>
              <w:bottom w:w="16" w:type="dxa"/>
              <w:start w:w="30" w:type="dxa"/>
              <w:end w:w="70" w:type="dxa"/>
            </w:tcMar>
          </w:tcPr>
          <w:p>
            <w:pPr>
              <w:spacing w:after="0"/>
            </w:pPr>
            <w:r>
              <w:rPr>
                <w:rFonts w:ascii="Calibri" w:hAnsi="Calibri"/>
                <w:b w:val="0"/>
                <w:i w:val="0"/>
                <w:color w:val="1B2A32"/>
                <w:sz w:val="18"/>
              </w:rPr>
              <w:t>☐  Polygamy / Bigamy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Harassment</w:t>
            </w:r>
          </w:p>
        </w:tc>
        <w:tc>
          <w:tcPr>
            <w:tcW w:type="dxa" w:w="4752"/>
            <w:tcMar>
              <w:top w:w="16" w:type="dxa"/>
              <w:bottom w:w="16" w:type="dxa"/>
              <w:start w:w="30" w:type="dxa"/>
              <w:end w:w="70" w:type="dxa"/>
            </w:tcMar>
          </w:tcPr>
          <w:p>
            <w:pPr>
              <w:spacing w:after="0"/>
            </w:pPr>
            <w:r>
              <w:rPr>
                <w:rFonts w:ascii="Calibri" w:hAnsi="Calibri"/>
                <w:b w:val="0"/>
                <w:i w:val="0"/>
                <w:color w:val="1B2A32"/>
                <w:sz w:val="18"/>
              </w:rPr>
              <w:t>☐  NRI / cross-border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Nullity of marriage</w:t>
            </w:r>
          </w:p>
        </w:tc>
        <w:tc>
          <w:tcPr>
            <w:tcW w:type="dxa" w:w="4752"/>
            <w:tcMar>
              <w:top w:w="16" w:type="dxa"/>
              <w:bottom w:w="16" w:type="dxa"/>
              <w:start w:w="30" w:type="dxa"/>
              <w:end w:w="70" w:type="dxa"/>
            </w:tcMar>
          </w:tcPr>
          <w:p>
            <w:pPr>
              <w:spacing w:after="0"/>
            </w:pPr>
            <w:r>
              <w:rPr>
                <w:rFonts w:ascii="Calibri" w:hAnsi="Calibri"/>
                <w:b w:val="0"/>
                <w:i w:val="0"/>
                <w:color w:val="1B2A32"/>
                <w:sz w:val="18"/>
              </w:rPr>
              <w:t>☐  Reconciliation</w:t>
            </w:r>
          </w:p>
        </w:tc>
      </w:tr>
    </w:tbl>
    <w:p>
      <w:pPr>
        <w:spacing w:after="40"/>
      </w:pPr>
    </w:p>
    <w:p>
      <w:pPr>
        <w:spacing w:after="80"/>
        <w:jc w:val="both"/>
      </w:pPr>
      <w:r>
        <w:rPr>
          <w:rFonts w:ascii="Calibri" w:hAnsi="Calibri"/>
          <w:b/>
          <w:i w:val="0"/>
          <w:color w:val="1B2A32"/>
          <w:sz w:val="19"/>
        </w:rPr>
        <w:t>Specific issues / brief facts (in not more than 200 words):</w:t>
      </w: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Describe the issues you wish to resolve</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60" w:type="dxa"/>
              <w:bottom w:w="60" w:type="dxa"/>
              <w:start w:w="120" w:type="dxa"/>
              <w:end w:w="120" w:type="dxa"/>
            </w:tcMar>
          </w:tcPr>
          <w:p>
            <w:pPr>
              <w:spacing w:after="0"/>
            </w:pPr>
            <w:r>
              <w:rPr>
                <w:rFonts w:ascii="Calibri" w:hAnsi="Calibri"/>
                <w:b w:val="0"/>
                <w:i/>
                <w:color w:val="1B2A32"/>
                <w:sz w:val="17"/>
              </w:rPr>
              <w:t>Specimen issue: 'We have lived apart since Jan 2024. I seek a mutual-consent divorce, a one-time settlement, and shared parenting for our 7-year-old. A cruelty FIR is pending which we wish to close on settlement.'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APPLICANT (PERSON REQUESTING MEDIATION)</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Full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Father's / Spouse's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Gender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birth</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Residential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District &amp; State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PIN code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Alternative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ID type &amp; number (Aadhaar / PAN / Passport)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RESPONDENT (THE OTHER SPOUSE)</w:t>
            </w:r>
          </w:p>
        </w:tc>
      </w:tr>
    </w:tbl>
    <w:p>
      <w:pPr>
        <w:spacing w:after="20"/>
      </w:pPr>
    </w:p>
    <w:p>
      <w:pPr>
        <w:spacing w:after="80"/>
        <w:jc w:val="both"/>
      </w:pPr>
      <w:r>
        <w:rPr>
          <w:rFonts w:ascii="Calibri" w:hAnsi="Calibri"/>
          <w:b w:val="0"/>
          <w:i w:val="0"/>
          <w:color w:val="1B2A32"/>
          <w:sz w:val="19"/>
        </w:rPr>
        <w:t>Leave blank any detail you do not have; provide at least one contact channel so notice can be served.</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Full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Father's / Spouse's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Residential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District &amp; State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Alternative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language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PENDING COURT / POLICE PROCEEDINGS (IF ANY)</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Case / FIR no.</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Court / Police Station</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Provision / sections</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Status</w:t>
            </w:r>
          </w:p>
        </w:tc>
      </w:tr>
      <w:tr>
        <w:tc>
          <w:tcPr>
            <w:tcW w:type="dxa" w:w="209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2091"/>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RELIEF &amp; PRAYER</w:t>
            </w:r>
          </w:p>
        </w:tc>
      </w:tr>
    </w:tbl>
    <w:p>
      <w:pPr>
        <w:spacing w:after="20"/>
      </w:pPr>
    </w:p>
    <w:p>
      <w:pPr>
        <w:spacing w:after="20"/>
      </w:pPr>
      <w:r>
        <w:rPr>
          <w:rFonts w:ascii="Calibri" w:hAnsi="Calibri"/>
          <w:b/>
          <w:i w:val="0"/>
          <w:color w:val="123B4F"/>
          <w:sz w:val="18"/>
        </w:rPr>
        <w:t>Relief sought: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Mutual-consent divorce</w:t>
            </w:r>
          </w:p>
        </w:tc>
        <w:tc>
          <w:tcPr>
            <w:tcW w:type="dxa" w:w="4752"/>
            <w:tcMar>
              <w:top w:w="16" w:type="dxa"/>
              <w:bottom w:w="16" w:type="dxa"/>
              <w:start w:w="30" w:type="dxa"/>
              <w:end w:w="70" w:type="dxa"/>
            </w:tcMar>
          </w:tcPr>
          <w:p>
            <w:pPr>
              <w:spacing w:after="0"/>
            </w:pPr>
            <w:r>
              <w:rPr>
                <w:rFonts w:ascii="Calibri" w:hAnsi="Calibri"/>
                <w:b w:val="0"/>
                <w:i w:val="0"/>
                <w:color w:val="1B2A32"/>
                <w:sz w:val="18"/>
              </w:rPr>
              <w:t>☐  Divorce on a fault ground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Judicial separation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Reconciliation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Interim maintenance</w:t>
            </w:r>
          </w:p>
        </w:tc>
        <w:tc>
          <w:tcPr>
            <w:tcW w:type="dxa" w:w="4752"/>
            <w:tcMar>
              <w:top w:w="16" w:type="dxa"/>
              <w:bottom w:w="16" w:type="dxa"/>
              <w:start w:w="30" w:type="dxa"/>
              <w:end w:w="70" w:type="dxa"/>
            </w:tcMar>
          </w:tcPr>
          <w:p>
            <w:pPr>
              <w:spacing w:after="0"/>
            </w:pPr>
            <w:r>
              <w:rPr>
                <w:rFonts w:ascii="Calibri" w:hAnsi="Calibri"/>
                <w:b w:val="0"/>
                <w:i w:val="0"/>
                <w:color w:val="1B2A32"/>
                <w:sz w:val="18"/>
              </w:rPr>
              <w:t>☐  Permanent alimony / one-time settlement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Child maintenance</w:t>
            </w:r>
          </w:p>
        </w:tc>
        <w:tc>
          <w:tcPr>
            <w:tcW w:type="dxa" w:w="4752"/>
            <w:tcMar>
              <w:top w:w="16" w:type="dxa"/>
              <w:bottom w:w="16" w:type="dxa"/>
              <w:start w:w="30" w:type="dxa"/>
              <w:end w:w="70" w:type="dxa"/>
            </w:tcMar>
          </w:tcPr>
          <w:p>
            <w:pPr>
              <w:spacing w:after="0"/>
            </w:pPr>
            <w:r>
              <w:rPr>
                <w:rFonts w:ascii="Calibri" w:hAnsi="Calibri"/>
                <w:b w:val="0"/>
                <w:i w:val="0"/>
                <w:color w:val="1B2A32"/>
                <w:sz w:val="18"/>
              </w:rPr>
              <w:t>☐  Custody arrangement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Visitation schedule</w:t>
            </w:r>
          </w:p>
        </w:tc>
        <w:tc>
          <w:tcPr>
            <w:tcW w:type="dxa" w:w="4752"/>
            <w:tcMar>
              <w:top w:w="16" w:type="dxa"/>
              <w:bottom w:w="16" w:type="dxa"/>
              <w:start w:w="30" w:type="dxa"/>
              <w:end w:w="70" w:type="dxa"/>
            </w:tcMar>
          </w:tcPr>
          <w:p>
            <w:pPr>
              <w:spacing w:after="0"/>
            </w:pPr>
            <w:r>
              <w:rPr>
                <w:rFonts w:ascii="Calibri" w:hAnsi="Calibri"/>
                <w:b w:val="0"/>
                <w:i w:val="0"/>
                <w:color w:val="1B2A32"/>
                <w:sz w:val="18"/>
              </w:rPr>
              <w:t>☐  Transfer / partition of property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Return of streedhan / jewellery</w:t>
            </w:r>
          </w:p>
        </w:tc>
        <w:tc>
          <w:tcPr>
            <w:tcW w:type="dxa" w:w="4752"/>
            <w:tcMar>
              <w:top w:w="16" w:type="dxa"/>
              <w:bottom w:w="16" w:type="dxa"/>
              <w:start w:w="30" w:type="dxa"/>
              <w:end w:w="70" w:type="dxa"/>
            </w:tcMar>
          </w:tcPr>
          <w:p>
            <w:pPr>
              <w:spacing w:after="0"/>
            </w:pPr>
            <w:r>
              <w:rPr>
                <w:rFonts w:ascii="Calibri" w:hAnsi="Calibri"/>
                <w:b w:val="0"/>
                <w:i w:val="0"/>
                <w:color w:val="1B2A32"/>
                <w:sz w:val="18"/>
              </w:rPr>
              <w:t>☐  Payment of mahr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Protection / no-contact</w:t>
            </w:r>
          </w:p>
        </w:tc>
        <w:tc>
          <w:tcPr>
            <w:tcW w:type="dxa" w:w="4752"/>
            <w:tcMar>
              <w:top w:w="16" w:type="dxa"/>
              <w:bottom w:w="16" w:type="dxa"/>
              <w:start w:w="30" w:type="dxa"/>
              <w:end w:w="70" w:type="dxa"/>
            </w:tcMar>
          </w:tcPr>
          <w:p>
            <w:pPr>
              <w:spacing w:after="0"/>
            </w:pPr>
            <w:r>
              <w:rPr>
                <w:rFonts w:ascii="Calibri" w:hAnsi="Calibri"/>
                <w:b w:val="0"/>
                <w:i w:val="0"/>
                <w:color w:val="1B2A32"/>
                <w:sz w:val="18"/>
              </w:rPr>
              <w:t>☐  Withdrawal / quashing of criminal cases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Escrow-secured payment</w:t>
            </w:r>
          </w:p>
        </w:tc>
        <w:tc>
          <w:tcPr>
            <w:tcW w:type="dxa" w:w="4752"/>
            <w:tcMar>
              <w:top w:w="16" w:type="dxa"/>
              <w:bottom w:w="16" w:type="dxa"/>
              <w:start w:w="30" w:type="dxa"/>
              <w:end w:w="70" w:type="dxa"/>
            </w:tcMar>
          </w:tcPr>
          <w:p>
            <w:pPr>
              <w:spacing w:after="0"/>
            </w:pPr>
            <w:r>
              <w:rPr>
                <w:rFonts w:ascii="Calibri" w:hAnsi="Calibri"/>
                <w:b w:val="0"/>
                <w:i w:val="0"/>
                <w:color w:val="1B2A32"/>
                <w:sz w:val="18"/>
              </w:rPr>
              <w:t>☐  Other (specify)</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Any urgent interim relief sought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Your key points for settlement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6.  MEDIATOR PREFERENCE</w:t>
            </w:r>
          </w:p>
        </w:tc>
      </w:tr>
    </w:tbl>
    <w:p>
      <w:pPr>
        <w:spacing w:after="20"/>
      </w:pPr>
    </w:p>
    <w:p>
      <w:pPr>
        <w:spacing w:after="20"/>
      </w:pPr>
      <w:r>
        <w:rPr>
          <w:rFonts w:ascii="Calibri" w:hAnsi="Calibri"/>
          <w:b/>
          <w:i w:val="0"/>
          <w:color w:val="123B4F"/>
          <w:sz w:val="18"/>
        </w:rPr>
        <w:t>Selection preference: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Please recommend suitable mediators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We have a mediator in mind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Institutional appointment is fine</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mode (online / in-person / hybrid)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language of mediation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gender of mediator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Required specialisation (e.g., custody, property, NRI)</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By requesting mediation I authorise Equator Resolution to administer my matter and to serve notice on the other party.</w:t>
      </w:r>
    </w:p>
    <w:p>
      <w:pPr>
        <w:spacing w:after="40"/>
        <w:jc w:val="both"/>
      </w:pPr>
      <w:r>
        <w:rPr>
          <w:rFonts w:ascii="Calibri" w:hAnsi="Calibri"/>
          <w:b w:val="0"/>
          <w:i w:val="0"/>
          <w:color w:val="1B2A32"/>
          <w:sz w:val="18"/>
        </w:rPr>
        <w:t xml:space="preserve">☐  </w:t>
      </w:r>
      <w:r>
        <w:rPr>
          <w:rFonts w:ascii="Calibri" w:hAnsi="Calibri"/>
          <w:b w:val="0"/>
          <w:i w:val="0"/>
          <w:color w:val="1B2A32"/>
          <w:sz w:val="18"/>
        </w:rPr>
        <w:t>I am willing to pay the fees to the mediator and Equator Resolution as per the Schedule of Fees.</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a mediator will be appointed who will fix the mediation dates, and that participation is voluntary and confidential.</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provided is true to the best of my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Notice of Mediation to Respondent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F-03</w:t>
            </w:r>
          </w:p>
        </w:tc>
      </w:tr>
    </w:tbl>
    <w:p>
      <w:pPr>
        <w:spacing w:after="80"/>
      </w:pPr>
      <w:r>
        <w:rPr>
          <w:rFonts w:ascii="Calibri" w:hAnsi="Calibri"/>
          <w:b w:val="0"/>
          <w:i/>
          <w:color w:val="556168"/>
          <w:sz w:val="18"/>
        </w:rPr>
        <w:t>Issued by Equator Resolution inviting the other spouse to participate.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notice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 (Respondent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Delivery channel (email / SMS / WhatsApp / post)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SUBJECT: INVITATION TO RESOLVE A FAMILY DISPUTE THROUGH MEDIATION</w:t>
            </w:r>
          </w:p>
        </w:tc>
      </w:tr>
    </w:tbl>
    <w:p>
      <w:pPr>
        <w:spacing w:after="20"/>
      </w:pPr>
    </w:p>
    <w:p>
      <w:pPr>
        <w:spacing w:after="80"/>
        <w:jc w:val="both"/>
      </w:pPr>
      <w:r>
        <w:rPr>
          <w:rFonts w:ascii="Calibri" w:hAnsi="Calibri"/>
          <w:b w:val="0"/>
          <w:i w:val="0"/>
          <w:color w:val="1B2A32"/>
          <w:sz w:val="19"/>
        </w:rPr>
        <w:t xml:space="preserve">Dear Respondent, Equator Resolution has received a request for mediation concerning a family dispute to which you are a party. Mediation is a </w:t>
      </w:r>
      <w:r>
        <w:rPr>
          <w:rFonts w:ascii="Calibri" w:hAnsi="Calibri"/>
          <w:b/>
          <w:i w:val="0"/>
          <w:color w:val="1B2A32"/>
          <w:sz w:val="19"/>
        </w:rPr>
        <w:t>voluntary, confidential and time-bound</w:t>
      </w:r>
      <w:r>
        <w:rPr>
          <w:rFonts w:ascii="Calibri" w:hAnsi="Calibri"/>
          <w:b w:val="0"/>
          <w:i w:val="0"/>
          <w:color w:val="1B2A32"/>
          <w:sz w:val="19"/>
        </w:rPr>
        <w:t xml:space="preserve"> process in which a neutral mediator helps both spouses reach their own settlement, which — once registered — is enforceable as a decree of a court under the Mediation Act, 2023.</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Brief nature of the dispute (as stated by the 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Issues raised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HOW TO RESPOND</w:t>
            </w:r>
          </w:p>
        </w:tc>
      </w:tr>
    </w:tbl>
    <w:p>
      <w:pPr>
        <w:spacing w:after="20"/>
      </w:pPr>
    </w:p>
    <w:p>
      <w:pPr>
        <w:spacing w:after="80"/>
        <w:jc w:val="both"/>
      </w:pPr>
      <w:r>
        <w:rPr>
          <w:rFonts w:ascii="Calibri" w:hAnsi="Calibri"/>
          <w:b w:val="0"/>
          <w:i w:val="0"/>
          <w:color w:val="1B2A32"/>
          <w:sz w:val="19"/>
        </w:rPr>
        <w:t xml:space="preserve">Please file your Response (Form F-04) within </w:t>
      </w:r>
      <w:r>
        <w:rPr>
          <w:rFonts w:ascii="Calibri" w:hAnsi="Calibri"/>
          <w:b/>
          <w:i w:val="0"/>
          <w:color w:val="1B2A32"/>
          <w:sz w:val="19"/>
        </w:rPr>
        <w:t>14 days</w:t>
      </w:r>
      <w:r>
        <w:rPr>
          <w:rFonts w:ascii="Calibri" w:hAnsi="Calibri"/>
          <w:b w:val="0"/>
          <w:i w:val="0"/>
          <w:color w:val="1B2A32"/>
          <w:sz w:val="19"/>
        </w:rPr>
        <w:t xml:space="preserve"> of receiving this notice. You may accept mediation and add your own issues and relief, or decline. If we do not hear from you within the response window (extendable by 7 days on request), a Non-commencement Report will be issued and the Applicant may pursue other remedies.</w:t>
      </w:r>
    </w:p>
    <w:p>
      <w:pPr>
        <w:spacing w:after="20"/>
      </w:pPr>
      <w:r>
        <w:rPr>
          <w:rFonts w:ascii="Calibri" w:hAnsi="Calibri"/>
          <w:b/>
          <w:i w:val="0"/>
          <w:color w:val="123B4F"/>
          <w:sz w:val="18"/>
        </w:rPr>
        <w:t>You may:</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Respond online at equatorresolution.com</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Email response@equatorresolution.com</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Call the case manager</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Participation is voluntary and without prejudice. Anything said in mediation is confidential and cannot be used against you in court, subject only to the safety exceptions in the Mediation Act, 2023.</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 Resolution</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File a Response (Family)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F-04</w:t>
            </w:r>
          </w:p>
        </w:tc>
      </w:tr>
    </w:tbl>
    <w:p>
      <w:pPr>
        <w:spacing w:after="80"/>
      </w:pPr>
      <w:r>
        <w:rPr>
          <w:rFonts w:ascii="Calibri" w:hAnsi="Calibri"/>
          <w:b w:val="0"/>
          <w:i/>
          <w:color w:val="556168"/>
          <w:sz w:val="18"/>
        </w:rPr>
        <w:t>To be filed by the Respondent on receiving a Notice of Mediation.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notice received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RESPONDENT DETAILS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Full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Father's / Spouse's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Gender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birth</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Residential address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District &amp; State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PIN code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Mobile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Alternative number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Email 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ID type &amp; number (Aadhaar / PAN / Passport)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Authorised representative / advocate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YOUR DECISION</w:t>
            </w:r>
          </w:p>
        </w:tc>
      </w:tr>
    </w:tbl>
    <w:p>
      <w:pPr>
        <w:spacing w:after="20"/>
      </w:pPr>
    </w:p>
    <w:p>
      <w:pPr>
        <w:spacing w:after="20"/>
      </w:pPr>
      <w:r>
        <w:rPr>
          <w:rFonts w:ascii="Calibri" w:hAnsi="Calibri"/>
          <w:b/>
          <w:i w:val="0"/>
          <w:color w:val="123B4F"/>
          <w:sz w:val="18"/>
        </w:rPr>
        <w:t>Decision: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I accept and agree to participate in mediation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 decline mediation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 need more information before deciding</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YOUR RESPONSE TO THE ISSUES</w:t>
            </w:r>
          </w:p>
        </w:tc>
      </w:tr>
    </w:tbl>
    <w:p>
      <w:pPr>
        <w:spacing w:after="20"/>
      </w:pPr>
    </w:p>
    <w:p>
      <w:pPr>
        <w:spacing w:after="80"/>
        <w:jc w:val="both"/>
      </w:pPr>
      <w:r>
        <w:rPr>
          <w:rFonts w:ascii="Calibri" w:hAnsi="Calibri"/>
          <w:b/>
          <w:i w:val="0"/>
          <w:color w:val="1B2A32"/>
          <w:sz w:val="19"/>
        </w:rPr>
        <w:t>Your account of the matter and response to the issues raised (in not more than 200 words):</w:t>
      </w: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Your response</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COUNTER-ISSUES &amp; RELIEF YOU SEEK</w:t>
            </w:r>
          </w:p>
        </w:tc>
      </w:tr>
    </w:tbl>
    <w:p>
      <w:pPr>
        <w:spacing w:after="20"/>
      </w:pPr>
    </w:p>
    <w:p>
      <w:pPr>
        <w:spacing w:after="20"/>
      </w:pPr>
      <w:r>
        <w:rPr>
          <w:rFonts w:ascii="Calibri" w:hAnsi="Calibri"/>
          <w:b/>
          <w:i w:val="0"/>
          <w:color w:val="123B4F"/>
          <w:sz w:val="18"/>
        </w:rPr>
        <w:t>Additional issues you wish to raise: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Divorce &amp; Dissolution</w:t>
            </w:r>
          </w:p>
        </w:tc>
        <w:tc>
          <w:tcPr>
            <w:tcW w:type="dxa" w:w="4752"/>
            <w:tcMar>
              <w:top w:w="16" w:type="dxa"/>
              <w:bottom w:w="16" w:type="dxa"/>
              <w:start w:w="30" w:type="dxa"/>
              <w:end w:w="70" w:type="dxa"/>
            </w:tcMar>
          </w:tcPr>
          <w:p>
            <w:pPr>
              <w:spacing w:after="0"/>
            </w:pPr>
            <w:r>
              <w:rPr>
                <w:rFonts w:ascii="Calibri" w:hAnsi="Calibri"/>
                <w:b w:val="0"/>
                <w:i w:val="0"/>
                <w:color w:val="1B2A32"/>
                <w:sz w:val="18"/>
              </w:rPr>
              <w:t>☐  Judicial Separation / RCR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Maintenance &amp; Alimony</w:t>
            </w:r>
          </w:p>
        </w:tc>
        <w:tc>
          <w:tcPr>
            <w:tcW w:type="dxa" w:w="4752"/>
            <w:tcMar>
              <w:top w:w="16" w:type="dxa"/>
              <w:bottom w:w="16" w:type="dxa"/>
              <w:start w:w="30" w:type="dxa"/>
              <w:end w:w="70" w:type="dxa"/>
            </w:tcMar>
          </w:tcPr>
          <w:p>
            <w:pPr>
              <w:spacing w:after="0"/>
            </w:pPr>
            <w:r>
              <w:rPr>
                <w:rFonts w:ascii="Calibri" w:hAnsi="Calibri"/>
                <w:b w:val="0"/>
                <w:i w:val="0"/>
                <w:color w:val="1B2A32"/>
                <w:sz w:val="18"/>
              </w:rPr>
              <w:t>☐  Child Custody &amp; Guardianship</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Property, Streedhan &amp; Mahr</w:t>
            </w:r>
          </w:p>
        </w:tc>
        <w:tc>
          <w:tcPr>
            <w:tcW w:type="dxa" w:w="4752"/>
            <w:tcMar>
              <w:top w:w="16" w:type="dxa"/>
              <w:bottom w:w="16" w:type="dxa"/>
              <w:start w:w="30" w:type="dxa"/>
              <w:end w:w="70" w:type="dxa"/>
            </w:tcMar>
          </w:tcPr>
          <w:p>
            <w:pPr>
              <w:spacing w:after="0"/>
            </w:pPr>
            <w:r>
              <w:rPr>
                <w:rFonts w:ascii="Calibri" w:hAnsi="Calibri"/>
                <w:b w:val="0"/>
                <w:i w:val="0"/>
                <w:color w:val="1B2A32"/>
                <w:sz w:val="18"/>
              </w:rPr>
              <w:t>☐  Domestic Violence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Dowry &amp; Cruelty</w:t>
            </w:r>
          </w:p>
        </w:tc>
        <w:tc>
          <w:tcPr>
            <w:tcW w:type="dxa" w:w="4752"/>
            <w:tcMar>
              <w:top w:w="16" w:type="dxa"/>
              <w:bottom w:w="16" w:type="dxa"/>
              <w:start w:w="30" w:type="dxa"/>
              <w:end w:w="70" w:type="dxa"/>
            </w:tcMar>
          </w:tcPr>
          <w:p>
            <w:pPr>
              <w:spacing w:after="0"/>
            </w:pPr>
            <w:r>
              <w:rPr>
                <w:rFonts w:ascii="Calibri" w:hAnsi="Calibri"/>
                <w:b w:val="0"/>
                <w:i w:val="0"/>
                <w:color w:val="1B2A32"/>
                <w:sz w:val="18"/>
              </w:rPr>
              <w:t>☐  Criminal cross-complaints / FIR closure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Extramarital affair / Adultery</w:t>
            </w:r>
          </w:p>
        </w:tc>
        <w:tc>
          <w:tcPr>
            <w:tcW w:type="dxa" w:w="4752"/>
            <w:tcMar>
              <w:top w:w="16" w:type="dxa"/>
              <w:bottom w:w="16" w:type="dxa"/>
              <w:start w:w="30" w:type="dxa"/>
              <w:end w:w="70" w:type="dxa"/>
            </w:tcMar>
          </w:tcPr>
          <w:p>
            <w:pPr>
              <w:spacing w:after="0"/>
            </w:pPr>
            <w:r>
              <w:rPr>
                <w:rFonts w:ascii="Calibri" w:hAnsi="Calibri"/>
                <w:b w:val="0"/>
                <w:i w:val="0"/>
                <w:color w:val="1B2A32"/>
                <w:sz w:val="18"/>
              </w:rPr>
              <w:t>☐  Polygamy / Bigamy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Harassment</w:t>
            </w:r>
          </w:p>
        </w:tc>
        <w:tc>
          <w:tcPr>
            <w:tcW w:type="dxa" w:w="4752"/>
            <w:tcMar>
              <w:top w:w="16" w:type="dxa"/>
              <w:bottom w:w="16" w:type="dxa"/>
              <w:start w:w="30" w:type="dxa"/>
              <w:end w:w="70" w:type="dxa"/>
            </w:tcMar>
          </w:tcPr>
          <w:p>
            <w:pPr>
              <w:spacing w:after="0"/>
            </w:pPr>
            <w:r>
              <w:rPr>
                <w:rFonts w:ascii="Calibri" w:hAnsi="Calibri"/>
                <w:b w:val="0"/>
                <w:i w:val="0"/>
                <w:color w:val="1B2A32"/>
                <w:sz w:val="18"/>
              </w:rPr>
              <w:t>☐  NRI / cross-border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Nullity of marriage</w:t>
            </w:r>
          </w:p>
        </w:tc>
        <w:tc>
          <w:tcPr>
            <w:tcW w:type="dxa" w:w="4752"/>
            <w:tcMar>
              <w:top w:w="16" w:type="dxa"/>
              <w:bottom w:w="16" w:type="dxa"/>
              <w:start w:w="30" w:type="dxa"/>
              <w:end w:w="70" w:type="dxa"/>
            </w:tcMar>
          </w:tcPr>
          <w:p>
            <w:pPr>
              <w:spacing w:after="0"/>
            </w:pPr>
            <w:r>
              <w:rPr>
                <w:rFonts w:ascii="Calibri" w:hAnsi="Calibri"/>
                <w:b w:val="0"/>
                <w:i w:val="0"/>
                <w:color w:val="1B2A32"/>
                <w:sz w:val="18"/>
              </w:rPr>
              <w:t>☐  Reconciliation</w:t>
            </w:r>
          </w:p>
        </w:tc>
      </w:tr>
    </w:tbl>
    <w:p>
      <w:pPr>
        <w:spacing w:after="40"/>
      </w:pPr>
    </w:p>
    <w:p>
      <w:pPr>
        <w:spacing w:after="20"/>
      </w:pPr>
      <w:r>
        <w:rPr>
          <w:rFonts w:ascii="Calibri" w:hAnsi="Calibri"/>
          <w:b/>
          <w:i w:val="0"/>
          <w:color w:val="123B4F"/>
          <w:sz w:val="18"/>
        </w:rPr>
        <w:t>Relief you seek:</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Mutual-consent divorce</w:t>
            </w:r>
          </w:p>
        </w:tc>
        <w:tc>
          <w:tcPr>
            <w:tcW w:type="dxa" w:w="4752"/>
            <w:tcMar>
              <w:top w:w="16" w:type="dxa"/>
              <w:bottom w:w="16" w:type="dxa"/>
              <w:start w:w="30" w:type="dxa"/>
              <w:end w:w="70" w:type="dxa"/>
            </w:tcMar>
          </w:tcPr>
          <w:p>
            <w:pPr>
              <w:spacing w:after="0"/>
            </w:pPr>
            <w:r>
              <w:rPr>
                <w:rFonts w:ascii="Calibri" w:hAnsi="Calibri"/>
                <w:b w:val="0"/>
                <w:i w:val="0"/>
                <w:color w:val="1B2A32"/>
                <w:sz w:val="18"/>
              </w:rPr>
              <w:t>☐  Divorce on a fault ground</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Judicial separation</w:t>
            </w:r>
          </w:p>
        </w:tc>
        <w:tc>
          <w:tcPr>
            <w:tcW w:type="dxa" w:w="4752"/>
            <w:tcMar>
              <w:top w:w="16" w:type="dxa"/>
              <w:bottom w:w="16" w:type="dxa"/>
              <w:start w:w="30" w:type="dxa"/>
              <w:end w:w="70" w:type="dxa"/>
            </w:tcMar>
          </w:tcPr>
          <w:p>
            <w:pPr>
              <w:spacing w:after="0"/>
            </w:pPr>
            <w:r>
              <w:rPr>
                <w:rFonts w:ascii="Calibri" w:hAnsi="Calibri"/>
                <w:b w:val="0"/>
                <w:i w:val="0"/>
                <w:color w:val="1B2A32"/>
                <w:sz w:val="18"/>
              </w:rPr>
              <w:t>☐  Reconciliation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Interim maintenance</w:t>
            </w:r>
          </w:p>
        </w:tc>
        <w:tc>
          <w:tcPr>
            <w:tcW w:type="dxa" w:w="4752"/>
            <w:tcMar>
              <w:top w:w="16" w:type="dxa"/>
              <w:bottom w:w="16" w:type="dxa"/>
              <w:start w:w="30" w:type="dxa"/>
              <w:end w:w="70" w:type="dxa"/>
            </w:tcMar>
          </w:tcPr>
          <w:p>
            <w:pPr>
              <w:spacing w:after="0"/>
            </w:pPr>
            <w:r>
              <w:rPr>
                <w:rFonts w:ascii="Calibri" w:hAnsi="Calibri"/>
                <w:b w:val="0"/>
                <w:i w:val="0"/>
                <w:color w:val="1B2A32"/>
                <w:sz w:val="18"/>
              </w:rPr>
              <w:t>☐  Permanent alimony / one-time settlement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Child maintenance</w:t>
            </w:r>
          </w:p>
        </w:tc>
        <w:tc>
          <w:tcPr>
            <w:tcW w:type="dxa" w:w="4752"/>
            <w:tcMar>
              <w:top w:w="16" w:type="dxa"/>
              <w:bottom w:w="16" w:type="dxa"/>
              <w:start w:w="30" w:type="dxa"/>
              <w:end w:w="70" w:type="dxa"/>
            </w:tcMar>
          </w:tcPr>
          <w:p>
            <w:pPr>
              <w:spacing w:after="0"/>
            </w:pPr>
            <w:r>
              <w:rPr>
                <w:rFonts w:ascii="Calibri" w:hAnsi="Calibri"/>
                <w:b w:val="0"/>
                <w:i w:val="0"/>
                <w:color w:val="1B2A32"/>
                <w:sz w:val="18"/>
              </w:rPr>
              <w:t>☐  Custody arrangement</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Visitation schedule</w:t>
            </w:r>
          </w:p>
        </w:tc>
        <w:tc>
          <w:tcPr>
            <w:tcW w:type="dxa" w:w="4752"/>
            <w:tcMar>
              <w:top w:w="16" w:type="dxa"/>
              <w:bottom w:w="16" w:type="dxa"/>
              <w:start w:w="30" w:type="dxa"/>
              <w:end w:w="70" w:type="dxa"/>
            </w:tcMar>
          </w:tcPr>
          <w:p>
            <w:pPr>
              <w:spacing w:after="0"/>
            </w:pPr>
            <w:r>
              <w:rPr>
                <w:rFonts w:ascii="Calibri" w:hAnsi="Calibri"/>
                <w:b w:val="0"/>
                <w:i w:val="0"/>
                <w:color w:val="1B2A32"/>
                <w:sz w:val="18"/>
              </w:rPr>
              <w:t>☐  Transfer / partition of property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Return of streedhan / jewellery</w:t>
            </w:r>
          </w:p>
        </w:tc>
        <w:tc>
          <w:tcPr>
            <w:tcW w:type="dxa" w:w="4752"/>
            <w:tcMar>
              <w:top w:w="16" w:type="dxa"/>
              <w:bottom w:w="16" w:type="dxa"/>
              <w:start w:w="30" w:type="dxa"/>
              <w:end w:w="70" w:type="dxa"/>
            </w:tcMar>
          </w:tcPr>
          <w:p>
            <w:pPr>
              <w:spacing w:after="0"/>
            </w:pPr>
            <w:r>
              <w:rPr>
                <w:rFonts w:ascii="Calibri" w:hAnsi="Calibri"/>
                <w:b w:val="0"/>
                <w:i w:val="0"/>
                <w:color w:val="1B2A32"/>
                <w:sz w:val="18"/>
              </w:rPr>
              <w:t>☐  Payment of mahr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Protection / no-contact</w:t>
            </w:r>
          </w:p>
        </w:tc>
        <w:tc>
          <w:tcPr>
            <w:tcW w:type="dxa" w:w="4752"/>
            <w:tcMar>
              <w:top w:w="16" w:type="dxa"/>
              <w:bottom w:w="16" w:type="dxa"/>
              <w:start w:w="30" w:type="dxa"/>
              <w:end w:w="70" w:type="dxa"/>
            </w:tcMar>
          </w:tcPr>
          <w:p>
            <w:pPr>
              <w:spacing w:after="0"/>
            </w:pPr>
            <w:r>
              <w:rPr>
                <w:rFonts w:ascii="Calibri" w:hAnsi="Calibri"/>
                <w:b w:val="0"/>
                <w:i w:val="0"/>
                <w:color w:val="1B2A32"/>
                <w:sz w:val="18"/>
              </w:rPr>
              <w:t>☐  Withdrawal / quashing of criminal cases</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Escrow-secured payment</w:t>
            </w:r>
          </w:p>
        </w:tc>
        <w:tc>
          <w:tcPr>
            <w:tcW w:type="dxa" w:w="4752"/>
            <w:tcMar>
              <w:top w:w="16" w:type="dxa"/>
              <w:bottom w:w="16" w:type="dxa"/>
              <w:start w:w="30" w:type="dxa"/>
              <w:end w:w="70" w:type="dxa"/>
            </w:tcMar>
          </w:tcPr>
          <w:p>
            <w:pPr>
              <w:spacing w:after="0"/>
            </w:pPr>
            <w:r>
              <w:rPr>
                <w:rFonts w:ascii="Calibri" w:hAnsi="Calibri"/>
                <w:b w:val="0"/>
                <w:i w:val="0"/>
                <w:color w:val="1B2A32"/>
                <w:sz w:val="18"/>
              </w:rPr>
              <w:t>☐  Other (specify)</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MEDIATOR PREFERENCE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mode (online / in-person / hybrid)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gender of mediator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Any objection to a specific mediator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By accepting mediation I authorise Equator Resolution to administer my matter.</w:t>
      </w:r>
    </w:p>
    <w:p>
      <w:pPr>
        <w:spacing w:after="40"/>
        <w:jc w:val="both"/>
      </w:pPr>
      <w:r>
        <w:rPr>
          <w:rFonts w:ascii="Calibri" w:hAnsi="Calibri"/>
          <w:b w:val="0"/>
          <w:i w:val="0"/>
          <w:color w:val="1B2A32"/>
          <w:sz w:val="18"/>
        </w:rPr>
        <w:t xml:space="preserve">☐  </w:t>
      </w:r>
      <w:r>
        <w:rPr>
          <w:rFonts w:ascii="Calibri" w:hAnsi="Calibri"/>
          <w:b w:val="0"/>
          <w:i w:val="0"/>
          <w:color w:val="1B2A32"/>
          <w:sz w:val="18"/>
        </w:rPr>
        <w:t>I am willing to pay the fees to the mediator and Equator Resolution as per the Schedule of Fees.</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participation is voluntary and confidential and that I may withdraw at any time.</w:t>
      </w:r>
    </w:p>
    <w:p>
      <w:pPr>
        <w:spacing w:after="40"/>
        <w:jc w:val="both"/>
      </w:pPr>
      <w:r>
        <w:rPr>
          <w:rFonts w:ascii="Calibri" w:hAnsi="Calibri"/>
          <w:b w:val="0"/>
          <w:i w:val="0"/>
          <w:color w:val="1B2A32"/>
          <w:sz w:val="18"/>
        </w:rPr>
        <w:t xml:space="preserve">☐  </w:t>
      </w:r>
      <w:r>
        <w:rPr>
          <w:rFonts w:ascii="Calibri" w:hAnsi="Calibri"/>
          <w:b w:val="0"/>
          <w:i w:val="0"/>
          <w:color w:val="1B2A32"/>
          <w:sz w:val="18"/>
        </w:rPr>
        <w:t>The information provided is true to the best of my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Mediator Preference &amp; Selection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F-05</w:t>
            </w:r>
          </w:p>
        </w:tc>
      </w:tr>
    </w:tbl>
    <w:p>
      <w:pPr>
        <w:spacing w:after="80"/>
      </w:pPr>
      <w:r>
        <w:rPr>
          <w:rFonts w:ascii="Calibri" w:hAnsi="Calibri"/>
          <w:b w:val="0"/>
          <w:i/>
          <w:color w:val="556168"/>
          <w:sz w:val="18"/>
        </w:rPr>
        <w:t>Completed jointly by both parties to choose the mediator.</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FILTER THE PANEL</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Language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Preferred gender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Mode (online/in-person/hybrid)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Specialisation required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Fee grade (A / B / C)</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METHOD OF SELECTION</w:t>
            </w:r>
          </w:p>
        </w:tc>
      </w:tr>
    </w:tbl>
    <w:p>
      <w:pPr>
        <w:spacing w:after="20"/>
      </w:pPr>
    </w:p>
    <w:p>
      <w:pPr>
        <w:spacing w:after="20"/>
      </w:pPr>
      <w:r>
        <w:rPr>
          <w:rFonts w:ascii="Calibri" w:hAnsi="Calibri"/>
          <w:b/>
          <w:i w:val="0"/>
          <w:color w:val="123B4F"/>
          <w:sz w:val="18"/>
        </w:rPr>
        <w:t>We choose: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We jointly select a named mediator (give name / panel ID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Please recommend three profiles and we will rank them</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We agree to an institutional appointment by the Empanelment Committee</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Jointly selected mediator (name / panel ID)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RANKING (IF THREE PROFILES RECOMMENDED)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1140"/>
            <w:shd w:val="clear" w:color="auto" w:fill="123B4F"/>
            <w:tcMar>
              <w:top w:w="60" w:type="dxa"/>
              <w:bottom w:w="60" w:type="dxa"/>
              <w:start w:w="110" w:type="dxa"/>
              <w:end w:w="110" w:type="dxa"/>
            </w:tcMar>
          </w:tcPr>
          <w:p>
            <w:pPr>
              <w:spacing w:after="0"/>
            </w:pPr>
            <w:r>
              <w:rPr>
                <w:rFonts w:ascii="Calibri" w:hAnsi="Calibri"/>
                <w:b/>
                <w:i w:val="0"/>
                <w:color w:val="FFFFFF"/>
                <w:sz w:val="17"/>
              </w:rPr>
              <w:t>Rank</w:t>
            </w:r>
          </w:p>
        </w:tc>
        <w:tc>
          <w:tcPr>
            <w:tcW w:type="dxa" w:w="4277"/>
            <w:shd w:val="clear" w:color="auto" w:fill="123B4F"/>
            <w:tcMar>
              <w:top w:w="60" w:type="dxa"/>
              <w:bottom w:w="60" w:type="dxa"/>
              <w:start w:w="110" w:type="dxa"/>
              <w:end w:w="110" w:type="dxa"/>
            </w:tcMar>
          </w:tcPr>
          <w:p>
            <w:pPr>
              <w:spacing w:after="0"/>
            </w:pPr>
            <w:r>
              <w:rPr>
                <w:rFonts w:ascii="Calibri" w:hAnsi="Calibri"/>
                <w:b/>
                <w:i w:val="0"/>
                <w:color w:val="FFFFFF"/>
                <w:sz w:val="17"/>
              </w:rPr>
              <w:t>Mediator name / panel ID</w:t>
            </w:r>
          </w:p>
        </w:tc>
        <w:tc>
          <w:tcPr>
            <w:tcW w:type="dxa" w:w="4087"/>
            <w:shd w:val="clear" w:color="auto" w:fill="123B4F"/>
            <w:tcMar>
              <w:top w:w="60" w:type="dxa"/>
              <w:bottom w:w="60" w:type="dxa"/>
              <w:start w:w="110" w:type="dxa"/>
              <w:end w:w="110" w:type="dxa"/>
            </w:tcMar>
          </w:tcPr>
          <w:p>
            <w:pPr>
              <w:spacing w:after="0"/>
            </w:pPr>
            <w:r>
              <w:rPr>
                <w:rFonts w:ascii="Calibri" w:hAnsi="Calibri"/>
                <w:b/>
                <w:i w:val="0"/>
                <w:color w:val="FFFFFF"/>
                <w:sz w:val="17"/>
              </w:rPr>
              <w:t>Reason (optional)</w:t>
            </w:r>
          </w:p>
        </w:tc>
      </w:tr>
      <w:tr>
        <w:tc>
          <w:tcPr>
            <w:tcW w:type="dxa" w:w="1140"/>
            <w:tcMar>
              <w:top w:w="60" w:type="dxa"/>
              <w:bottom w:w="60" w:type="dxa"/>
              <w:start w:w="110" w:type="dxa"/>
              <w:end w:w="110" w:type="dxa"/>
            </w:tcMar>
          </w:tcPr>
          <w:p>
            <w:r>
              <w:t xml:space="preserve"> </w:t>
            </w:r>
          </w:p>
        </w:tc>
        <w:tc>
          <w:tcPr>
            <w:tcW w:type="dxa" w:w="4277"/>
            <w:tcMar>
              <w:top w:w="60" w:type="dxa"/>
              <w:bottom w:w="60" w:type="dxa"/>
              <w:start w:w="110" w:type="dxa"/>
              <w:end w:w="110" w:type="dxa"/>
            </w:tcMar>
          </w:tcPr>
          <w:p>
            <w:r>
              <w:t xml:space="preserve"> </w:t>
            </w:r>
          </w:p>
        </w:tc>
        <w:tc>
          <w:tcPr>
            <w:tcW w:type="dxa" w:w="4087"/>
            <w:tcMar>
              <w:top w:w="60" w:type="dxa"/>
              <w:bottom w:w="60" w:type="dxa"/>
              <w:start w:w="110" w:type="dxa"/>
              <w:end w:w="110" w:type="dxa"/>
            </w:tcMar>
          </w:tcPr>
          <w:p>
            <w:r>
              <w:t xml:space="preserve"> </w:t>
            </w:r>
          </w:p>
        </w:tc>
      </w:tr>
      <w:tr>
        <w:tc>
          <w:tcPr>
            <w:tcW w:type="dxa" w:w="1140"/>
            <w:tcMar>
              <w:top w:w="60" w:type="dxa"/>
              <w:bottom w:w="60" w:type="dxa"/>
              <w:start w:w="110" w:type="dxa"/>
              <w:end w:w="110" w:type="dxa"/>
            </w:tcMar>
            <w:shd w:val="clear" w:color="auto" w:fill="F2F6F8"/>
          </w:tcPr>
          <w:p>
            <w:r>
              <w:t xml:space="preserve"> </w:t>
            </w:r>
          </w:p>
        </w:tc>
        <w:tc>
          <w:tcPr>
            <w:tcW w:type="dxa" w:w="4277"/>
            <w:tcMar>
              <w:top w:w="60" w:type="dxa"/>
              <w:bottom w:w="60" w:type="dxa"/>
              <w:start w:w="110" w:type="dxa"/>
              <w:end w:w="110" w:type="dxa"/>
            </w:tcMar>
            <w:shd w:val="clear" w:color="auto" w:fill="F2F6F8"/>
          </w:tcPr>
          <w:p>
            <w:r>
              <w:t xml:space="preserve"> </w:t>
            </w:r>
          </w:p>
        </w:tc>
        <w:tc>
          <w:tcPr>
            <w:tcW w:type="dxa" w:w="4087"/>
            <w:tcMar>
              <w:top w:w="60" w:type="dxa"/>
              <w:bottom w:w="60" w:type="dxa"/>
              <w:start w:w="110" w:type="dxa"/>
              <w:end w:w="110" w:type="dxa"/>
            </w:tcMar>
            <w:shd w:val="clear" w:color="auto" w:fill="F2F6F8"/>
          </w:tcPr>
          <w:p>
            <w:r>
              <w:t xml:space="preserve"> </w:t>
            </w:r>
          </w:p>
        </w:tc>
      </w:tr>
      <w:tr>
        <w:tc>
          <w:tcPr>
            <w:tcW w:type="dxa" w:w="1140"/>
            <w:tcMar>
              <w:top w:w="60" w:type="dxa"/>
              <w:bottom w:w="60" w:type="dxa"/>
              <w:start w:w="110" w:type="dxa"/>
              <w:end w:w="110" w:type="dxa"/>
            </w:tcMar>
          </w:tcPr>
          <w:p>
            <w:r>
              <w:t xml:space="preserve"> </w:t>
            </w:r>
          </w:p>
        </w:tc>
        <w:tc>
          <w:tcPr>
            <w:tcW w:type="dxa" w:w="4277"/>
            <w:tcMar>
              <w:top w:w="60" w:type="dxa"/>
              <w:bottom w:w="60" w:type="dxa"/>
              <w:start w:w="110" w:type="dxa"/>
              <w:end w:w="110" w:type="dxa"/>
            </w:tcMar>
          </w:tcPr>
          <w:p>
            <w:r>
              <w:t xml:space="preserve"> </w:t>
            </w:r>
          </w:p>
        </w:tc>
        <w:tc>
          <w:tcPr>
            <w:tcW w:type="dxa" w:w="4087"/>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The selected mediator must clear an automated conflict-of-interest check and sign a disclosure (Form F-06) before appointment. If a conflict arises, the next profile is offered.</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Mediator Conflict-of-Interest &amp; Disclosure Declaration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F-06</w:t>
            </w:r>
          </w:p>
        </w:tc>
      </w:tr>
    </w:tbl>
    <w:p>
      <w:pPr>
        <w:spacing w:after="80"/>
      </w:pPr>
      <w:r>
        <w:rPr>
          <w:rFonts w:ascii="Calibri" w:hAnsi="Calibri"/>
          <w:b w:val="0"/>
          <w:i/>
          <w:color w:val="556168"/>
          <w:sz w:val="18"/>
        </w:rPr>
        <w:t>To be signed by the proposed mediator before appointment.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Proposed mediator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Panel ID / grade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MCI registration no.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OF INDEPENDENCE &amp; IMPARTIALITY</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have </w:t>
      </w:r>
      <w:r>
        <w:rPr>
          <w:rFonts w:ascii="Calibri" w:hAnsi="Calibri"/>
          <w:b/>
          <w:i w:val="0"/>
          <w:color w:val="1B2A32"/>
          <w:sz w:val="18"/>
        </w:rPr>
        <w:t>no past or present relationship</w:t>
      </w:r>
      <w:r>
        <w:rPr>
          <w:rFonts w:ascii="Calibri" w:hAnsi="Calibri"/>
          <w:b w:val="0"/>
          <w:i w:val="0"/>
          <w:color w:val="1B2A32"/>
          <w:sz w:val="18"/>
        </w:rPr>
        <w:t xml:space="preserve"> — personal, professional, financial or family — with either party or their representatives that could affect my impartiality.</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hold </w:t>
      </w:r>
      <w:r>
        <w:rPr>
          <w:rFonts w:ascii="Calibri" w:hAnsi="Calibri"/>
          <w:b/>
          <w:i w:val="0"/>
          <w:color w:val="1B2A32"/>
          <w:sz w:val="18"/>
        </w:rPr>
        <w:t>no interest</w:t>
      </w:r>
      <w:r>
        <w:rPr>
          <w:rFonts w:ascii="Calibri" w:hAnsi="Calibri"/>
          <w:b w:val="0"/>
          <w:i w:val="0"/>
          <w:color w:val="1B2A32"/>
          <w:sz w:val="18"/>
        </w:rPr>
        <w:t xml:space="preserve"> in the outcome of the dispute.</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will act </w:t>
      </w:r>
      <w:r>
        <w:rPr>
          <w:rFonts w:ascii="Calibri" w:hAnsi="Calibri"/>
          <w:b/>
          <w:i w:val="0"/>
          <w:color w:val="1B2A32"/>
          <w:sz w:val="18"/>
        </w:rPr>
        <w:t>independently, impartially and neutrally</w:t>
      </w:r>
      <w:r>
        <w:rPr>
          <w:rFonts w:ascii="Calibri" w:hAnsi="Calibri"/>
          <w:b w:val="0"/>
          <w:i w:val="0"/>
          <w:color w:val="1B2A32"/>
          <w:sz w:val="18"/>
        </w:rPr>
        <w:t>, will not give legal advice to either party, and will keep all mediation communications confidential (subject to the safety exceptions in the Mediation Act, 2023).</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am </w:t>
      </w:r>
      <w:r>
        <w:rPr>
          <w:rFonts w:ascii="Calibri" w:hAnsi="Calibri"/>
          <w:b/>
          <w:i w:val="0"/>
          <w:color w:val="1B2A32"/>
          <w:sz w:val="18"/>
        </w:rPr>
        <w:t>available</w:t>
      </w:r>
      <w:r>
        <w:rPr>
          <w:rFonts w:ascii="Calibri" w:hAnsi="Calibri"/>
          <w:b w:val="0"/>
          <w:i w:val="0"/>
          <w:color w:val="1B2A32"/>
          <w:sz w:val="18"/>
        </w:rPr>
        <w:t xml:space="preserve"> to complete the mediation within the statutory timeline (120 days, extendable by 60).</w:t>
      </w:r>
    </w:p>
    <w:p>
      <w:pPr>
        <w:spacing w:after="40"/>
        <w:jc w:val="both"/>
      </w:pPr>
      <w:r>
        <w:rPr>
          <w:rFonts w:ascii="Calibri" w:hAnsi="Calibri"/>
          <w:b w:val="0"/>
          <w:i w:val="0"/>
          <w:color w:val="1B2A32"/>
          <w:sz w:val="18"/>
        </w:rPr>
        <w:t xml:space="preserve">☐  </w:t>
      </w:r>
      <w:r>
        <w:rPr>
          <w:rFonts w:ascii="Calibri" w:hAnsi="Calibri"/>
          <w:b w:val="0"/>
          <w:i w:val="0"/>
          <w:color w:val="1B2A32"/>
          <w:sz w:val="18"/>
        </w:rPr>
        <w:t>I will disclose immediately any circumstance arising during the mediation that could affect my independence or impartiality.</w:t>
      </w:r>
    </w:p>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DISCLOSURES (IF ANY)</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Nature of the circumstance to be disclosed</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Empanelment Committee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Affidavit of Assets &amp; Liabilities</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F-07</w:t>
            </w:r>
          </w:p>
        </w:tc>
      </w:tr>
    </w:tbl>
    <w:p>
      <w:pPr>
        <w:spacing w:after="80"/>
      </w:pPr>
      <w:r>
        <w:rPr>
          <w:rFonts w:ascii="Calibri" w:hAnsi="Calibri"/>
          <w:b w:val="0"/>
          <w:i/>
          <w:color w:val="556168"/>
          <w:sz w:val="18"/>
        </w:rPr>
        <w:t>Mandatory disclosure in all maintenance matters (per Rajnesh v. Neha, (2021) 2 SCC 324). To be sworn / notarised.</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Deponent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Age / occupation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Residential address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PERSONAL &amp; FAMILY</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Marital status &amp; date of marriage / separation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Number of dependants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Details of dependants (relation, 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Standard of living during the marriage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INCOME &amp; EMPLOYMENT</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Employer / business / profession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Gross monthly income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Net monthly income (after statutory deductions)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Other income (rent, interest, dividends)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Income tax paid (last year)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ASSETS (MOVABLE &amp; IMMOVABLE)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4942"/>
            <w:shd w:val="clear" w:color="auto" w:fill="123B4F"/>
            <w:tcMar>
              <w:top w:w="60" w:type="dxa"/>
              <w:bottom w:w="60" w:type="dxa"/>
              <w:start w:w="110" w:type="dxa"/>
              <w:end w:w="110" w:type="dxa"/>
            </w:tcMar>
          </w:tcPr>
          <w:p>
            <w:pPr>
              <w:spacing w:after="0"/>
            </w:pPr>
            <w:r>
              <w:rPr>
                <w:rFonts w:ascii="Calibri" w:hAnsi="Calibri"/>
                <w:b/>
                <w:i w:val="0"/>
                <w:color w:val="FFFFFF"/>
                <w:sz w:val="17"/>
              </w:rPr>
              <w:t>Asset / description</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Ownership (sole/joint)</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Approx. value (Rs.)</w:t>
            </w:r>
          </w:p>
        </w:tc>
      </w:tr>
      <w:tr>
        <w:tc>
          <w:tcPr>
            <w:tcW w:type="dxa" w:w="4942"/>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4942"/>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r>
        <w:tc>
          <w:tcPr>
            <w:tcW w:type="dxa" w:w="4942"/>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r>
      <w:tr>
        <w:tc>
          <w:tcPr>
            <w:tcW w:type="dxa" w:w="4942"/>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LIABILITIES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Loan / liability</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Lender</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Outstanding (Rs.)</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Monthly EMI (Rs.)</w:t>
            </w:r>
          </w:p>
        </w:tc>
      </w:tr>
      <w:tr>
        <w:tc>
          <w:tcPr>
            <w:tcW w:type="dxa" w:w="323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r>
        <w:tc>
          <w:tcPr>
            <w:tcW w:type="dxa" w:w="3231"/>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r>
      <w:tr>
        <w:tc>
          <w:tcPr>
            <w:tcW w:type="dxa" w:w="3231"/>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  MONTHLY EXPENSES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6178"/>
            <w:shd w:val="clear" w:color="auto" w:fill="123B4F"/>
            <w:tcMar>
              <w:top w:w="60" w:type="dxa"/>
              <w:bottom w:w="60" w:type="dxa"/>
              <w:start w:w="110" w:type="dxa"/>
              <w:end w:w="110" w:type="dxa"/>
            </w:tcMar>
          </w:tcPr>
          <w:p>
            <w:pPr>
              <w:spacing w:after="0"/>
            </w:pPr>
            <w:r>
              <w:rPr>
                <w:rFonts w:ascii="Calibri" w:hAnsi="Calibri"/>
                <w:b/>
                <w:i w:val="0"/>
                <w:color w:val="FFFFFF"/>
                <w:sz w:val="17"/>
              </w:rPr>
              <w:t>Head of expense</w:t>
            </w:r>
          </w:p>
        </w:tc>
        <w:tc>
          <w:tcPr>
            <w:tcW w:type="dxa" w:w="3326"/>
            <w:shd w:val="clear" w:color="auto" w:fill="123B4F"/>
            <w:tcMar>
              <w:top w:w="60" w:type="dxa"/>
              <w:bottom w:w="60" w:type="dxa"/>
              <w:start w:w="110" w:type="dxa"/>
              <w:end w:w="110" w:type="dxa"/>
            </w:tcMar>
          </w:tcPr>
          <w:p>
            <w:pPr>
              <w:spacing w:after="0"/>
            </w:pPr>
            <w:r>
              <w:rPr>
                <w:rFonts w:ascii="Calibri" w:hAnsi="Calibri"/>
                <w:b/>
                <w:i w:val="0"/>
                <w:color w:val="FFFFFF"/>
                <w:sz w:val="17"/>
              </w:rPr>
              <w:t>Amount (Rs.) per month</w:t>
            </w:r>
          </w:p>
        </w:tc>
      </w:tr>
      <w:tr>
        <w:tc>
          <w:tcPr>
            <w:tcW w:type="dxa" w:w="6178"/>
            <w:tcMar>
              <w:top w:w="60" w:type="dxa"/>
              <w:bottom w:w="60" w:type="dxa"/>
              <w:start w:w="110" w:type="dxa"/>
              <w:end w:w="110" w:type="dxa"/>
            </w:tcMar>
          </w:tcPr>
          <w:p>
            <w:r>
              <w:t xml:space="preserve"> </w:t>
            </w:r>
          </w:p>
        </w:tc>
        <w:tc>
          <w:tcPr>
            <w:tcW w:type="dxa" w:w="3326"/>
            <w:tcMar>
              <w:top w:w="60" w:type="dxa"/>
              <w:bottom w:w="60" w:type="dxa"/>
              <w:start w:w="110" w:type="dxa"/>
              <w:end w:w="110" w:type="dxa"/>
            </w:tcMar>
          </w:tcPr>
          <w:p>
            <w:r>
              <w:t xml:space="preserve"> </w:t>
            </w:r>
          </w:p>
        </w:tc>
      </w:tr>
      <w:tr>
        <w:tc>
          <w:tcPr>
            <w:tcW w:type="dxa" w:w="6178"/>
            <w:tcMar>
              <w:top w:w="60" w:type="dxa"/>
              <w:bottom w:w="60" w:type="dxa"/>
              <w:start w:w="110" w:type="dxa"/>
              <w:end w:w="110" w:type="dxa"/>
            </w:tcMar>
            <w:shd w:val="clear" w:color="auto" w:fill="F2F6F8"/>
          </w:tcPr>
          <w:p>
            <w:r>
              <w:t xml:space="preserve"> </w:t>
            </w:r>
          </w:p>
        </w:tc>
        <w:tc>
          <w:tcPr>
            <w:tcW w:type="dxa" w:w="3326"/>
            <w:tcMar>
              <w:top w:w="60" w:type="dxa"/>
              <w:bottom w:w="60" w:type="dxa"/>
              <w:start w:w="110" w:type="dxa"/>
              <w:end w:w="110" w:type="dxa"/>
            </w:tcMar>
            <w:shd w:val="clear" w:color="auto" w:fill="F2F6F8"/>
          </w:tcPr>
          <w:p>
            <w:r>
              <w:t xml:space="preserve"> </w:t>
            </w:r>
          </w:p>
        </w:tc>
      </w:tr>
      <w:tr>
        <w:tc>
          <w:tcPr>
            <w:tcW w:type="dxa" w:w="6178"/>
            <w:tcMar>
              <w:top w:w="60" w:type="dxa"/>
              <w:bottom w:w="60" w:type="dxa"/>
              <w:start w:w="110" w:type="dxa"/>
              <w:end w:w="110" w:type="dxa"/>
            </w:tcMar>
          </w:tcPr>
          <w:p>
            <w:r>
              <w:t xml:space="preserve"> </w:t>
            </w:r>
          </w:p>
        </w:tc>
        <w:tc>
          <w:tcPr>
            <w:tcW w:type="dxa" w:w="3326"/>
            <w:tcMar>
              <w:top w:w="60" w:type="dxa"/>
              <w:bottom w:w="60" w:type="dxa"/>
              <w:start w:w="110" w:type="dxa"/>
              <w:end w:w="110" w:type="dxa"/>
            </w:tcMar>
          </w:tcPr>
          <w:p>
            <w:r>
              <w:t xml:space="preserve"> </w:t>
            </w:r>
          </w:p>
        </w:tc>
      </w:tr>
      <w:tr>
        <w:tc>
          <w:tcPr>
            <w:tcW w:type="dxa" w:w="6178"/>
            <w:tcMar>
              <w:top w:w="60" w:type="dxa"/>
              <w:bottom w:w="60" w:type="dxa"/>
              <w:start w:w="110" w:type="dxa"/>
              <w:end w:w="110" w:type="dxa"/>
            </w:tcMar>
            <w:shd w:val="clear" w:color="auto" w:fill="F2F6F8"/>
          </w:tcPr>
          <w:p>
            <w:r>
              <w:t xml:space="preserve"> </w:t>
            </w:r>
          </w:p>
        </w:tc>
        <w:tc>
          <w:tcPr>
            <w:tcW w:type="dxa" w:w="3326"/>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F.  KNOWN ASSETS / INCOME OF THE OTHER PARTY</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6178"/>
            <w:shd w:val="clear" w:color="auto" w:fill="123B4F"/>
            <w:tcMar>
              <w:top w:w="60" w:type="dxa"/>
              <w:bottom w:w="60" w:type="dxa"/>
              <w:start w:w="110" w:type="dxa"/>
              <w:end w:w="110" w:type="dxa"/>
            </w:tcMar>
          </w:tcPr>
          <w:p>
            <w:pPr>
              <w:spacing w:after="0"/>
            </w:pPr>
            <w:r>
              <w:rPr>
                <w:rFonts w:ascii="Calibri" w:hAnsi="Calibri"/>
                <w:b/>
                <w:i w:val="0"/>
                <w:color w:val="FFFFFF"/>
                <w:sz w:val="17"/>
              </w:rPr>
              <w:t>Description</w:t>
            </w:r>
          </w:p>
        </w:tc>
        <w:tc>
          <w:tcPr>
            <w:tcW w:type="dxa" w:w="3326"/>
            <w:shd w:val="clear" w:color="auto" w:fill="123B4F"/>
            <w:tcMar>
              <w:top w:w="60" w:type="dxa"/>
              <w:bottom w:w="60" w:type="dxa"/>
              <w:start w:w="110" w:type="dxa"/>
              <w:end w:w="110" w:type="dxa"/>
            </w:tcMar>
          </w:tcPr>
          <w:p>
            <w:pPr>
              <w:spacing w:after="0"/>
            </w:pPr>
            <w:r>
              <w:rPr>
                <w:rFonts w:ascii="Calibri" w:hAnsi="Calibri"/>
                <w:b/>
                <w:i w:val="0"/>
                <w:color w:val="FFFFFF"/>
                <w:sz w:val="17"/>
              </w:rPr>
              <w:t>Approx. value / income (Rs.)</w:t>
            </w:r>
          </w:p>
        </w:tc>
      </w:tr>
      <w:tr>
        <w:tc>
          <w:tcPr>
            <w:tcW w:type="dxa" w:w="6178"/>
            <w:tcMar>
              <w:top w:w="60" w:type="dxa"/>
              <w:bottom w:w="60" w:type="dxa"/>
              <w:start w:w="110" w:type="dxa"/>
              <w:end w:w="110" w:type="dxa"/>
            </w:tcMar>
          </w:tcPr>
          <w:p>
            <w:r>
              <w:t xml:space="preserve"> </w:t>
            </w:r>
          </w:p>
        </w:tc>
        <w:tc>
          <w:tcPr>
            <w:tcW w:type="dxa" w:w="3326"/>
            <w:tcMar>
              <w:top w:w="60" w:type="dxa"/>
              <w:bottom w:w="60" w:type="dxa"/>
              <w:start w:w="110" w:type="dxa"/>
              <w:end w:w="110" w:type="dxa"/>
            </w:tcMar>
          </w:tcPr>
          <w:p>
            <w:r>
              <w:t xml:space="preserve"> </w:t>
            </w:r>
          </w:p>
        </w:tc>
      </w:tr>
      <w:tr>
        <w:tc>
          <w:tcPr>
            <w:tcW w:type="dxa" w:w="6178"/>
            <w:tcMar>
              <w:top w:w="60" w:type="dxa"/>
              <w:bottom w:w="60" w:type="dxa"/>
              <w:start w:w="110" w:type="dxa"/>
              <w:end w:w="110" w:type="dxa"/>
            </w:tcMar>
            <w:shd w:val="clear" w:color="auto" w:fill="F2F6F8"/>
          </w:tcPr>
          <w:p>
            <w:r>
              <w:t xml:space="preserve"> </w:t>
            </w:r>
          </w:p>
        </w:tc>
        <w:tc>
          <w:tcPr>
            <w:tcW w:type="dxa" w:w="3326"/>
            <w:tcMar>
              <w:top w:w="60" w:type="dxa"/>
              <w:bottom w:w="60" w:type="dxa"/>
              <w:start w:w="110" w:type="dxa"/>
              <w:end w:w="110" w:type="dxa"/>
            </w:tcMar>
            <w:shd w:val="clear" w:color="auto" w:fill="F2F6F8"/>
          </w:tcPr>
          <w:p>
            <w:r>
              <w:t xml:space="preserve"> </w:t>
            </w:r>
          </w:p>
        </w:tc>
      </w:tr>
      <w:tr>
        <w:tc>
          <w:tcPr>
            <w:tcW w:type="dxa" w:w="6178"/>
            <w:tcMar>
              <w:top w:w="60" w:type="dxa"/>
              <w:bottom w:w="60" w:type="dxa"/>
              <w:start w:w="110" w:type="dxa"/>
              <w:end w:w="110" w:type="dxa"/>
            </w:tcMar>
          </w:tcPr>
          <w:p>
            <w:r>
              <w:t xml:space="preserve"> </w:t>
            </w:r>
          </w:p>
        </w:tc>
        <w:tc>
          <w:tcPr>
            <w:tcW w:type="dxa" w:w="3326"/>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solemnly affirm that the disclosures above are </w:t>
      </w:r>
      <w:r>
        <w:rPr>
          <w:rFonts w:ascii="Calibri" w:hAnsi="Calibri"/>
          <w:b/>
          <w:i w:val="0"/>
          <w:color w:val="1B2A32"/>
          <w:sz w:val="18"/>
        </w:rPr>
        <w:t>true, complete and correct</w:t>
      </w:r>
      <w:r>
        <w:rPr>
          <w:rFonts w:ascii="Calibri" w:hAnsi="Calibri"/>
          <w:b w:val="0"/>
          <w:i w:val="0"/>
          <w:color w:val="1B2A32"/>
          <w:sz w:val="18"/>
        </w:rPr>
        <w:t>, and that I have not concealed any asset, income or liability.</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a false affidavit may attract action for perjury and an adverse inference on maintenance.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Deponent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Attested / Notary</w:t>
            </w:r>
          </w:p>
          <w:p>
            <w:pPr>
              <w:spacing w:after="0"/>
            </w:pPr>
            <w:r>
              <w:rPr>
                <w:rFonts w:ascii="Calibri" w:hAnsi="Calibri"/>
                <w:b w:val="0"/>
                <w:i/>
                <w:color w:val="556168"/>
                <w:sz w:val="14"/>
              </w:rPr>
              <w:t>Name / Signature / Date</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Interim maintenance is ordinarily decided within ~60 days and runs from the date of application (Rajnesh v. Neha).</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Interim Arrangements Record</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F-08</w:t>
            </w:r>
          </w:p>
        </w:tc>
      </w:tr>
    </w:tbl>
    <w:p>
      <w:pPr>
        <w:spacing w:after="80"/>
      </w:pPr>
      <w:r>
        <w:rPr>
          <w:rFonts w:ascii="Calibri" w:hAnsi="Calibri"/>
          <w:b w:val="0"/>
          <w:i/>
          <w:color w:val="556168"/>
          <w:sz w:val="18"/>
        </w:rPr>
        <w:t>Records urgent arrangements agreed before or during mediation, pending final settlement.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AGREED INTERIM ARRANGEMENTS (WITHOUT PREJUDICE)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Interim maintenance (amount / mode / date payable)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Residence / who stays where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Children — schooling, expenses, day-to-day care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Interim custody &amp; contact / visitation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No-contact / no-harassment terms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Preservation of assets / accounts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Duration (until final settlement or a fixed 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These interim terms are </w:t>
            </w:r>
            <w:r>
              <w:rPr>
                <w:rFonts w:ascii="Calibri" w:hAnsi="Calibri"/>
                <w:b/>
                <w:i w:val="0"/>
                <w:color w:val="1B2A32"/>
                <w:sz w:val="17"/>
              </w:rPr>
              <w:t>without prejudice</w:t>
            </w:r>
            <w:r>
              <w:rPr>
                <w:rFonts w:ascii="Calibri" w:hAnsi="Calibri"/>
                <w:b w:val="0"/>
                <w:i w:val="0"/>
                <w:color w:val="1B2A32"/>
                <w:sz w:val="17"/>
              </w:rPr>
              <w:t xml:space="preserve"> to either party's final position and do not amount to an admission. They may be recorded by the court where required.</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Agreement to Mediate &amp; Confidentiality Undertaking</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F-09</w:t>
            </w:r>
          </w:p>
        </w:tc>
      </w:tr>
    </w:tbl>
    <w:p>
      <w:pPr>
        <w:spacing w:after="80"/>
      </w:pPr>
      <w:r>
        <w:rPr>
          <w:rFonts w:ascii="Calibri" w:hAnsi="Calibri"/>
          <w:b w:val="0"/>
          <w:i/>
          <w:color w:val="556168"/>
          <w:sz w:val="18"/>
        </w:rPr>
        <w:t>Signed by both parties (and the mediator) before the first session.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TERMS OF THE MEDIATION</w:t>
            </w:r>
          </w:p>
        </w:tc>
      </w:tr>
    </w:tbl>
    <w:p>
      <w:pPr>
        <w:spacing w:after="20"/>
      </w:pPr>
    </w:p>
    <w:p>
      <w:pPr>
        <w:spacing w:after="80"/>
        <w:jc w:val="both"/>
      </w:pPr>
      <w:r>
        <w:rPr>
          <w:rFonts w:ascii="Calibri" w:hAnsi="Calibri"/>
          <w:b/>
          <w:i w:val="0"/>
          <w:color w:val="1B2A32"/>
          <w:sz w:val="19"/>
        </w:rPr>
        <w:t>1. Appointment &amp; scope.</w:t>
      </w:r>
      <w:r>
        <w:rPr>
          <w:rFonts w:ascii="Calibri" w:hAnsi="Calibri"/>
          <w:b w:val="0"/>
          <w:i w:val="0"/>
          <w:color w:val="1B2A32"/>
          <w:sz w:val="19"/>
        </w:rPr>
        <w:t xml:space="preserve"> The parties appoint the above mediator, through Equator Resolution as Mediation Service Provider, to mediate the family dispute described in the case file, under the Mediation Act, 2023.</w:t>
      </w:r>
    </w:p>
    <w:p>
      <w:pPr>
        <w:spacing w:after="80"/>
        <w:jc w:val="both"/>
      </w:pPr>
      <w:r>
        <w:rPr>
          <w:rFonts w:ascii="Calibri" w:hAnsi="Calibri"/>
          <w:b/>
          <w:i w:val="0"/>
          <w:color w:val="1B2A32"/>
          <w:sz w:val="19"/>
        </w:rPr>
        <w:t>2. Voluntary participation.</w:t>
      </w:r>
      <w:r>
        <w:rPr>
          <w:rFonts w:ascii="Calibri" w:hAnsi="Calibri"/>
          <w:b w:val="0"/>
          <w:i w:val="0"/>
          <w:color w:val="1B2A32"/>
          <w:sz w:val="19"/>
        </w:rPr>
        <w:t xml:space="preserve"> Participation is voluntary. Either party, or the mediator, may terminate the mediation at any time. No party is obliged to settle.</w:t>
      </w:r>
    </w:p>
    <w:p>
      <w:pPr>
        <w:spacing w:after="80"/>
        <w:jc w:val="both"/>
      </w:pPr>
      <w:r>
        <w:rPr>
          <w:rFonts w:ascii="Calibri" w:hAnsi="Calibri"/>
          <w:b/>
          <w:i w:val="0"/>
          <w:color w:val="1B2A32"/>
          <w:sz w:val="19"/>
        </w:rPr>
        <w:t>3. Confidentiality &amp; privilege.</w:t>
      </w:r>
      <w:r>
        <w:rPr>
          <w:rFonts w:ascii="Calibri" w:hAnsi="Calibri"/>
          <w:b w:val="0"/>
          <w:i w:val="0"/>
          <w:color w:val="1B2A32"/>
          <w:sz w:val="19"/>
        </w:rPr>
        <w:t xml:space="preserve"> All communications, admissions, offers and documents made for the mediation are confidential and privileged and shall not be disclosed or used in any court or other proceeding — </w:t>
      </w:r>
      <w:r>
        <w:rPr>
          <w:rFonts w:ascii="Calibri" w:hAnsi="Calibri"/>
          <w:b/>
          <w:i w:val="0"/>
          <w:color w:val="1B2A32"/>
          <w:sz w:val="19"/>
        </w:rPr>
        <w:t>except</w:t>
      </w:r>
      <w:r>
        <w:rPr>
          <w:rFonts w:ascii="Calibri" w:hAnsi="Calibri"/>
          <w:b w:val="0"/>
          <w:i w:val="0"/>
          <w:color w:val="1B2A32"/>
          <w:sz w:val="19"/>
        </w:rPr>
        <w:t xml:space="preserve"> information relating to a threat of violence, domestic violence, child abuse, or a serious threat to safety or public health, and disclosures required by law.</w:t>
      </w:r>
    </w:p>
    <w:p>
      <w:pPr>
        <w:spacing w:after="80"/>
        <w:jc w:val="both"/>
      </w:pPr>
      <w:r>
        <w:rPr>
          <w:rFonts w:ascii="Calibri" w:hAnsi="Calibri"/>
          <w:b/>
          <w:i w:val="0"/>
          <w:color w:val="1B2A32"/>
          <w:sz w:val="19"/>
        </w:rPr>
        <w:t>4. Without prejudice.</w:t>
      </w:r>
      <w:r>
        <w:rPr>
          <w:rFonts w:ascii="Calibri" w:hAnsi="Calibri"/>
          <w:b w:val="0"/>
          <w:i w:val="0"/>
          <w:color w:val="1B2A32"/>
          <w:sz w:val="19"/>
        </w:rPr>
        <w:t xml:space="preserve"> The mediation is conducted on a without-prejudice basis.</w:t>
      </w:r>
    </w:p>
    <w:p>
      <w:pPr>
        <w:spacing w:after="80"/>
        <w:jc w:val="both"/>
      </w:pPr>
      <w:r>
        <w:rPr>
          <w:rFonts w:ascii="Calibri" w:hAnsi="Calibri"/>
          <w:b/>
          <w:i w:val="0"/>
          <w:color w:val="1B2A32"/>
          <w:sz w:val="19"/>
        </w:rPr>
        <w:t>5. Neutrality &amp; no legal advice.</w:t>
      </w:r>
      <w:r>
        <w:rPr>
          <w:rFonts w:ascii="Calibri" w:hAnsi="Calibri"/>
          <w:b w:val="0"/>
          <w:i w:val="0"/>
          <w:color w:val="1B2A32"/>
          <w:sz w:val="19"/>
        </w:rPr>
        <w:t xml:space="preserve"> The mediator is neutral, does not represent or advise either party, and does not decide the dispute. Parties are free to obtain independent legal advice.</w:t>
      </w:r>
    </w:p>
    <w:p>
      <w:pPr>
        <w:spacing w:after="80"/>
        <w:jc w:val="both"/>
      </w:pPr>
      <w:r>
        <w:rPr>
          <w:rFonts w:ascii="Calibri" w:hAnsi="Calibri"/>
          <w:b/>
          <w:i w:val="0"/>
          <w:color w:val="1B2A32"/>
          <w:sz w:val="19"/>
        </w:rPr>
        <w:t>6. Data protection.</w:t>
      </w:r>
      <w:r>
        <w:rPr>
          <w:rFonts w:ascii="Calibri" w:hAnsi="Calibri"/>
          <w:b w:val="0"/>
          <w:i w:val="0"/>
          <w:color w:val="1B2A32"/>
          <w:sz w:val="19"/>
        </w:rPr>
        <w:t xml:space="preserve"> Personal data is processed per Equator's DPDP-compliant privacy notice (Form F-01).</w:t>
      </w:r>
    </w:p>
    <w:p>
      <w:pPr>
        <w:spacing w:after="80"/>
        <w:jc w:val="both"/>
      </w:pPr>
      <w:r>
        <w:rPr>
          <w:rFonts w:ascii="Calibri" w:hAnsi="Calibri"/>
          <w:b/>
          <w:i w:val="0"/>
          <w:color w:val="1B2A32"/>
          <w:sz w:val="19"/>
        </w:rPr>
        <w:t>7. Fees.</w:t>
      </w:r>
      <w:r>
        <w:rPr>
          <w:rFonts w:ascii="Calibri" w:hAnsi="Calibri"/>
          <w:b w:val="0"/>
          <w:i w:val="0"/>
          <w:color w:val="1B2A32"/>
          <w:sz w:val="19"/>
        </w:rPr>
        <w:t xml:space="preserve"> The parties agree to pay fees per the Schedule of Fees.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We have read and agree to the terms above and will participate in good faith.</w:t>
      </w:r>
    </w:p>
    <w:p>
      <w:pPr>
        <w:spacing w:after="40"/>
        <w:jc w:val="both"/>
      </w:pPr>
      <w:r>
        <w:rPr>
          <w:rFonts w:ascii="Calibri" w:hAnsi="Calibri"/>
          <w:b w:val="0"/>
          <w:i w:val="0"/>
          <w:color w:val="1B2A32"/>
          <w:sz w:val="18"/>
        </w:rPr>
        <w:t xml:space="preserve">☐  </w:t>
      </w:r>
      <w:r>
        <w:rPr>
          <w:rFonts w:ascii="Calibri" w:hAnsi="Calibri"/>
          <w:b w:val="0"/>
          <w:i w:val="0"/>
          <w:color w:val="1B2A32"/>
          <w:sz w:val="18"/>
        </w:rPr>
        <w:t>We will keep the mediation confidential, subject to the exceptions stated.</w:t>
      </w:r>
    </w:p>
    <w:p>
      <w:pPr>
        <w:spacing w:after="40"/>
        <w:jc w:val="both"/>
      </w:pPr>
      <w:r>
        <w:rPr>
          <w:rFonts w:ascii="Calibri" w:hAnsi="Calibri"/>
          <w:b w:val="0"/>
          <w:i w:val="0"/>
          <w:color w:val="1B2A32"/>
          <w:sz w:val="18"/>
        </w:rPr>
        <w:t xml:space="preserve">☐  </w:t>
      </w:r>
      <w:r>
        <w:rPr>
          <w:rFonts w:ascii="Calibri" w:hAnsi="Calibri"/>
          <w:b w:val="0"/>
          <w:i w:val="0"/>
          <w:color w:val="1B2A32"/>
          <w:sz w:val="18"/>
        </w:rPr>
        <w:t>We understand any settlement is voluntary and, once signed and registered, is enforceable as a decree.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Mediated Settlement Agreement (MSA)</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F-10</w:t>
            </w:r>
          </w:p>
        </w:tc>
      </w:tr>
    </w:tbl>
    <w:p>
      <w:pPr>
        <w:spacing w:after="80"/>
      </w:pPr>
      <w:r>
        <w:rPr>
          <w:rFonts w:ascii="Calibri" w:hAnsi="Calibri"/>
          <w:b w:val="0"/>
          <w:i/>
          <w:color w:val="556168"/>
          <w:sz w:val="18"/>
        </w:rPr>
        <w:t>The final agreement (s.19, Mediation Act, 2023). Enforceable as a decree once registered (s.27).</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place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 (Party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 (Party 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RECITALS</w:t>
            </w:r>
          </w:p>
        </w:tc>
      </w:tr>
    </w:tbl>
    <w:p>
      <w:pPr>
        <w:spacing w:after="20"/>
      </w:pPr>
    </w:p>
    <w:p>
      <w:pPr>
        <w:spacing w:after="80"/>
        <w:jc w:val="both"/>
      </w:pPr>
      <w:r>
        <w:rPr>
          <w:rFonts w:ascii="Calibri" w:hAnsi="Calibri"/>
          <w:b w:val="0"/>
          <w:i w:val="0"/>
          <w:color w:val="1B2A32"/>
          <w:sz w:val="19"/>
        </w:rPr>
        <w:t>The parties were married on ____ under ____ (regime) and have been living separately since ____. Disputes arose between them concerning ____. They referred these disputes to mediation by Equator Resolution under the Mediation Act, 2023 and, of their own free will and without coercion, have reached the following settlement.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AGREED TERMS</w:t>
            </w:r>
          </w:p>
        </w:tc>
      </w:tr>
    </w:tbl>
    <w:p>
      <w:pPr>
        <w:spacing w:after="20"/>
      </w:pPr>
    </w:p>
    <w:p>
      <w:pPr>
        <w:spacing w:after="80"/>
        <w:jc w:val="both"/>
      </w:pPr>
      <w:r>
        <w:rPr>
          <w:rFonts w:ascii="Calibri" w:hAnsi="Calibri"/>
          <w:b/>
          <w:i w:val="0"/>
          <w:color w:val="1B2A32"/>
          <w:sz w:val="19"/>
        </w:rPr>
        <w:t>1. Status of marriage: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Divorce by mutual consent (joint petition to be filed)</w:t>
            </w:r>
          </w:p>
        </w:tc>
        <w:tc>
          <w:tcPr>
            <w:tcW w:type="dxa" w:w="4752"/>
            <w:tcMar>
              <w:top w:w="16" w:type="dxa"/>
              <w:bottom w:w="16" w:type="dxa"/>
              <w:start w:w="30" w:type="dxa"/>
              <w:end w:w="70" w:type="dxa"/>
            </w:tcMar>
          </w:tcPr>
          <w:p>
            <w:pPr>
              <w:spacing w:after="0"/>
            </w:pPr>
            <w:r>
              <w:rPr>
                <w:rFonts w:ascii="Calibri" w:hAnsi="Calibri"/>
                <w:b w:val="0"/>
                <w:i w:val="0"/>
                <w:color w:val="1B2A32"/>
                <w:sz w:val="18"/>
              </w:rPr>
              <w:t>☐  Judicial separation</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Reconciliation</w:t>
            </w:r>
          </w:p>
        </w:tc>
        <w:tc>
          <w:tcPr>
            <w:tcW w:type="dxa" w:w="4752"/>
            <w:tcMar>
              <w:top w:w="16" w:type="dxa"/>
              <w:bottom w:w="16" w:type="dxa"/>
              <w:start w:w="30" w:type="dxa"/>
              <w:end w:w="70" w:type="dxa"/>
            </w:tcMar>
          </w:tcPr>
          <w:p>
            <w:pPr>
              <w:spacing w:after="0"/>
            </w:pPr>
            <w:r>
              <w:rPr>
                <w:rFonts w:ascii="Calibri" w:hAnsi="Calibri"/>
                <w:b w:val="0"/>
                <w:i w:val="0"/>
                <w:color w:val="1B2A32"/>
                <w:sz w:val="18"/>
              </w:rPr>
              <w:t>☐  To be pursued on a fault ground</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2. Maintenance / permanent alimony (amount, mode, schedule)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3. Child custody &amp; parenting (see Parenting Plan F-17)</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4. Child maintenance &amp; education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5. Matrimonial home / residence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6. Division of property &amp; investments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7. Return of streedhan / jewellery / gifts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8. Mahr / dower (if applicable)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9. Treatment of criminal cases (see Joint Memo F-12)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10. Escrow of settlement funds (see F-11)</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GENERAL</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This is the parties' </w:t>
      </w:r>
      <w:r>
        <w:rPr>
          <w:rFonts w:ascii="Calibri" w:hAnsi="Calibri"/>
          <w:b/>
          <w:i w:val="0"/>
          <w:color w:val="1B2A32"/>
          <w:sz w:val="18"/>
        </w:rPr>
        <w:t>full and final settlement</w:t>
      </w:r>
      <w:r>
        <w:rPr>
          <w:rFonts w:ascii="Calibri" w:hAnsi="Calibri"/>
          <w:b w:val="0"/>
          <w:i w:val="0"/>
          <w:color w:val="1B2A32"/>
          <w:sz w:val="18"/>
        </w:rPr>
        <w:t xml:space="preserve"> of all matrimonial disputes between them, save as expressly reserved.</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The settlement has been reached </w:t>
      </w:r>
      <w:r>
        <w:rPr>
          <w:rFonts w:ascii="Calibri" w:hAnsi="Calibri"/>
          <w:b/>
          <w:i w:val="0"/>
          <w:color w:val="1B2A32"/>
          <w:sz w:val="18"/>
        </w:rPr>
        <w:t>voluntarily and without coercion, fraud or undue influence</w:t>
      </w:r>
      <w:r>
        <w:rPr>
          <w:rFonts w:ascii="Calibri" w:hAnsi="Calibri"/>
          <w:b w:val="0"/>
          <w:i w:val="0"/>
          <w:color w:val="1B2A32"/>
          <w:sz w:val="18"/>
        </w:rPr>
        <w:t>, with the opportunity to take independent legal advice.</w:t>
      </w:r>
    </w:p>
    <w:p>
      <w:pPr>
        <w:spacing w:after="40"/>
        <w:jc w:val="both"/>
      </w:pPr>
      <w:r>
        <w:rPr>
          <w:rFonts w:ascii="Calibri" w:hAnsi="Calibri"/>
          <w:b w:val="0"/>
          <w:i w:val="0"/>
          <w:color w:val="1B2A32"/>
          <w:sz w:val="18"/>
        </w:rPr>
        <w:t xml:space="preserve">☐  </w:t>
      </w:r>
      <w:r>
        <w:rPr>
          <w:rFonts w:ascii="Calibri" w:hAnsi="Calibri"/>
          <w:b w:val="0"/>
          <w:i w:val="0"/>
          <w:color w:val="1B2A32"/>
          <w:sz w:val="18"/>
        </w:rPr>
        <w:t>The parties will do all acts (including filing joint petitions and court applications) needed to give effect to this settlement.</w:t>
      </w:r>
    </w:p>
    <w:p>
      <w:pPr>
        <w:spacing w:after="40"/>
        <w:jc w:val="both"/>
      </w:pPr>
      <w:r>
        <w:rPr>
          <w:rFonts w:ascii="Calibri" w:hAnsi="Calibri"/>
          <w:b w:val="0"/>
          <w:i w:val="0"/>
          <w:color w:val="1B2A32"/>
          <w:sz w:val="18"/>
        </w:rPr>
        <w:t xml:space="preserve">☐  </w:t>
      </w:r>
      <w:r>
        <w:rPr>
          <w:rFonts w:ascii="Calibri" w:hAnsi="Calibri"/>
          <w:b w:val="0"/>
          <w:i w:val="0"/>
          <w:color w:val="1B2A32"/>
          <w:sz w:val="18"/>
        </w:rPr>
        <w:t>Confidentiality and non-disparagement: neither party will publicise or disparage the other regarding these matters.</w:t>
      </w:r>
    </w:p>
    <w:p>
      <w:pPr>
        <w:spacing w:after="20"/>
      </w:pPr>
    </w:p>
    <w:p>
      <w:pPr>
        <w:spacing w:after="80"/>
        <w:jc w:val="both"/>
      </w:pPr>
      <w:r>
        <w:rPr>
          <w:rFonts w:ascii="Calibri" w:hAnsi="Calibri"/>
          <w:b/>
          <w:i w:val="0"/>
          <w:color w:val="1B2A32"/>
          <w:sz w:val="19"/>
        </w:rPr>
        <w:t>Registration &amp; enforceability:</w:t>
      </w:r>
      <w:r>
        <w:rPr>
          <w:rFonts w:ascii="Calibri" w:hAnsi="Calibri"/>
          <w:b w:val="0"/>
          <w:i w:val="0"/>
          <w:color w:val="1B2A32"/>
          <w:sz w:val="19"/>
        </w:rPr>
        <w:t xml:space="preserve"> This Agreement will be registered under s.20 of the Mediation Act, 2023 and is final, binding and enforceable as a judgment or decree of a court under s.27. It may be challenged only on the limited grounds and within the time set out in s.28.</w:t>
      </w:r>
    </w:p>
    <w:p>
      <w:pPr>
        <w:spacing w:after="80"/>
        <w:jc w:val="both"/>
      </w:pPr>
      <w:r>
        <w:rPr>
          <w:rFonts w:ascii="Calibri" w:hAnsi="Calibri"/>
          <w:b/>
          <w:i w:val="0"/>
          <w:color w:val="1B2A32"/>
          <w:sz w:val="19"/>
        </w:rPr>
        <w:t>Authentication:</w:t>
      </w:r>
      <w:r>
        <w:rPr>
          <w:rFonts w:ascii="Calibri" w:hAnsi="Calibri"/>
          <w:b w:val="0"/>
          <w:i w:val="0"/>
          <w:color w:val="1B2A32"/>
          <w:sz w:val="19"/>
        </w:rPr>
        <w:t xml:space="preserve"> The mediator authenticates that this Agreement records the settlement reached in the mediation and was signed by the parties in the mediator's presence.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STAMPING, REGISTRATION &amp; JURISDICTION</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Stamp duty paid (Rs.) / e-stamp certificate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Registering authority &amp; date (s.20)</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Competent court / jurisdiction for the decree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Equator case number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Case-number scheme: EQ/FAM/&lt;CITY&gt;/&lt;YYYY&gt;/&lt;NNNNN&gt; (e.g., EQ/FAM/MUM/2026/00147). A QR code linking to the case record may be printed on each executed copy.</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 (authenticating)</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Escrow Instruction &amp; Release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F-11</w:t>
            </w:r>
          </w:p>
        </w:tc>
      </w:tr>
    </w:tbl>
    <w:p>
      <w:pPr>
        <w:spacing w:after="80"/>
      </w:pPr>
      <w:r>
        <w:rPr>
          <w:rFonts w:ascii="Calibri" w:hAnsi="Calibri"/>
          <w:b w:val="0"/>
          <w:i/>
          <w:color w:val="556168"/>
          <w:sz w:val="18"/>
        </w:rPr>
        <w:t>Secures settlement money with a neutral, RBI-regulated escrow agent, released against milestones.</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agent / bank</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amount held (Rs.)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Source of funds (KYC/PMLA verified)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RELEASE SCHEDULE (CONDITIONAL &amp; STAGED)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1331"/>
            <w:shd w:val="clear" w:color="auto" w:fill="123B4F"/>
            <w:tcMar>
              <w:top w:w="60" w:type="dxa"/>
              <w:bottom w:w="60" w:type="dxa"/>
              <w:start w:w="110" w:type="dxa"/>
              <w:end w:w="110" w:type="dxa"/>
            </w:tcMar>
          </w:tcPr>
          <w:p>
            <w:pPr>
              <w:spacing w:after="0"/>
            </w:pPr>
            <w:r>
              <w:rPr>
                <w:rFonts w:ascii="Calibri" w:hAnsi="Calibri"/>
                <w:b/>
                <w:i w:val="0"/>
                <w:color w:val="FFFFFF"/>
                <w:sz w:val="17"/>
              </w:rPr>
              <w:t>Tranche</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Amount (Rs.)</w:t>
            </w:r>
          </w:p>
        </w:tc>
        <w:tc>
          <w:tcPr>
            <w:tcW w:type="dxa" w:w="3802"/>
            <w:shd w:val="clear" w:color="auto" w:fill="123B4F"/>
            <w:tcMar>
              <w:top w:w="60" w:type="dxa"/>
              <w:bottom w:w="60" w:type="dxa"/>
              <w:start w:w="110" w:type="dxa"/>
              <w:end w:w="110" w:type="dxa"/>
            </w:tcMar>
          </w:tcPr>
          <w:p>
            <w:pPr>
              <w:spacing w:after="0"/>
            </w:pPr>
            <w:r>
              <w:rPr>
                <w:rFonts w:ascii="Calibri" w:hAnsi="Calibri"/>
                <w:b/>
                <w:i w:val="0"/>
                <w:color w:val="FFFFFF"/>
                <w:sz w:val="17"/>
              </w:rPr>
              <w:t>Release trigger / milestone</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Evidence required</w:t>
            </w:r>
          </w:p>
        </w:tc>
      </w:tr>
      <w:tr>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r>
        <w:tc>
          <w:tcPr>
            <w:tcW w:type="dxa" w:w="133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c>
          <w:tcPr>
            <w:tcW w:type="dxa" w:w="3802"/>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133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c>
          <w:tcPr>
            <w:tcW w:type="dxa" w:w="3802"/>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bl>
    <w:p>
      <w:pPr>
        <w:spacing w:after="40"/>
      </w:pPr>
    </w:p>
    <w:p>
      <w:pPr>
        <w:spacing w:after="80"/>
        <w:jc w:val="both"/>
      </w:pPr>
      <w:r>
        <w:rPr>
          <w:rFonts w:ascii="Calibri" w:hAnsi="Calibri"/>
          <w:b w:val="0"/>
          <w:i w:val="0"/>
          <w:color w:val="1B2A32"/>
          <w:sz w:val="19"/>
        </w:rPr>
        <w:t xml:space="preserve">Typical milestones: first tranche on the divorce </w:t>
      </w:r>
      <w:r>
        <w:rPr>
          <w:rFonts w:ascii="Calibri" w:hAnsi="Calibri"/>
          <w:b/>
          <w:i w:val="0"/>
          <w:color w:val="1B2A32"/>
          <w:sz w:val="19"/>
        </w:rPr>
        <w:t>first motion</w:t>
      </w:r>
      <w:r>
        <w:rPr>
          <w:rFonts w:ascii="Calibri" w:hAnsi="Calibri"/>
          <w:b w:val="0"/>
          <w:i w:val="0"/>
          <w:color w:val="1B2A32"/>
          <w:sz w:val="19"/>
        </w:rPr>
        <w:t xml:space="preserve">; next on </w:t>
      </w:r>
      <w:r>
        <w:rPr>
          <w:rFonts w:ascii="Calibri" w:hAnsi="Calibri"/>
          <w:b/>
          <w:i w:val="0"/>
          <w:color w:val="1B2A32"/>
          <w:sz w:val="19"/>
        </w:rPr>
        <w:t>withdrawal / quashing of the FIR</w:t>
      </w:r>
      <w:r>
        <w:rPr>
          <w:rFonts w:ascii="Calibri" w:hAnsi="Calibri"/>
          <w:b w:val="0"/>
          <w:i w:val="0"/>
          <w:color w:val="1B2A32"/>
          <w:sz w:val="19"/>
        </w:rPr>
        <w:t xml:space="preserve">; final on the </w:t>
      </w:r>
      <w:r>
        <w:rPr>
          <w:rFonts w:ascii="Calibri" w:hAnsi="Calibri"/>
          <w:b/>
          <w:i w:val="0"/>
          <w:color w:val="1B2A32"/>
          <w:sz w:val="19"/>
        </w:rPr>
        <w:t>decree</w:t>
      </w:r>
      <w:r>
        <w:rPr>
          <w:rFonts w:ascii="Calibri" w:hAnsi="Calibri"/>
          <w:b w:val="0"/>
          <w:i w:val="0"/>
          <w:color w:val="1B2A32"/>
          <w:sz w:val="19"/>
        </w:rPr>
        <w:t xml:space="preserve"> and/or </w:t>
      </w:r>
      <w:r>
        <w:rPr>
          <w:rFonts w:ascii="Calibri" w:hAnsi="Calibri"/>
          <w:b/>
          <w:i w:val="0"/>
          <w:color w:val="1B2A32"/>
          <w:sz w:val="19"/>
        </w:rPr>
        <w:t>handover of streedhan and keys</w:t>
      </w:r>
      <w:r>
        <w:rPr>
          <w:rFonts w:ascii="Calibri" w:hAnsi="Calibri"/>
          <w:b w:val="0"/>
          <w:i w:val="0"/>
          <w:color w:val="1B2A32"/>
          <w:sz w:val="19"/>
        </w:rPr>
        <w:t xml:space="preserve"> to the matrimonial home.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FALLBACK &amp; GOVERNANCE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If a milestone is not met by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Fallback (continue holding / refund / defined dispute step)</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Escrow fees &amp; who bears them</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Audit &amp; receipts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The payer irrevocably deposits the above sum with the escrow agent to be released </w:t>
      </w:r>
      <w:r>
        <w:rPr>
          <w:rFonts w:ascii="Calibri" w:hAnsi="Calibri"/>
          <w:b/>
          <w:i w:val="0"/>
          <w:color w:val="1B2A32"/>
          <w:sz w:val="18"/>
        </w:rPr>
        <w:t>only</w:t>
      </w:r>
      <w:r>
        <w:rPr>
          <w:rFonts w:ascii="Calibri" w:hAnsi="Calibri"/>
          <w:b w:val="0"/>
          <w:i w:val="0"/>
          <w:color w:val="1B2A32"/>
          <w:sz w:val="18"/>
        </w:rPr>
        <w:t xml:space="preserve"> on the stated conditions.</w:t>
      </w:r>
    </w:p>
    <w:p>
      <w:pPr>
        <w:spacing w:after="40"/>
        <w:jc w:val="both"/>
      </w:pPr>
      <w:r>
        <w:rPr>
          <w:rFonts w:ascii="Calibri" w:hAnsi="Calibri"/>
          <w:b w:val="0"/>
          <w:i w:val="0"/>
          <w:color w:val="1B2A32"/>
          <w:sz w:val="18"/>
        </w:rPr>
        <w:t xml:space="preserve">☐  </w:t>
      </w:r>
      <w:r>
        <w:rPr>
          <w:rFonts w:ascii="Calibri" w:hAnsi="Calibri"/>
          <w:b w:val="0"/>
          <w:i w:val="0"/>
          <w:color w:val="1B2A32"/>
          <w:sz w:val="18"/>
        </w:rPr>
        <w:t>Payments represent settlement of civil / matrimonial claims; release linked to any criminal-case closure reflects the parties' genuine settlement of a private dispute and is effected through the competent court.</w:t>
      </w:r>
    </w:p>
    <w:p>
      <w:pPr>
        <w:spacing w:after="40"/>
        <w:jc w:val="both"/>
      </w:pPr>
      <w:r>
        <w:rPr>
          <w:rFonts w:ascii="Calibri" w:hAnsi="Calibri"/>
          <w:b w:val="0"/>
          <w:i w:val="0"/>
          <w:color w:val="1B2A32"/>
          <w:sz w:val="18"/>
        </w:rPr>
        <w:t xml:space="preserve">☐  </w:t>
      </w:r>
      <w:r>
        <w:rPr>
          <w:rFonts w:ascii="Calibri" w:hAnsi="Calibri"/>
          <w:b w:val="0"/>
          <w:i w:val="0"/>
          <w:color w:val="1B2A32"/>
          <w:sz w:val="18"/>
        </w:rPr>
        <w:t>Both parties consent to the escrow agent acting on these instructions, and to KYC / PMLA compliance.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Payer</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Payee</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Escrow Officer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Joint Memorandum - Withdrawal / Compounding / Quashing of Criminal Proceedings</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F-12</w:t>
            </w:r>
          </w:p>
        </w:tc>
      </w:tr>
    </w:tbl>
    <w:p>
      <w:pPr>
        <w:spacing w:after="80"/>
      </w:pPr>
      <w:r>
        <w:rPr>
          <w:rFonts w:ascii="Calibri" w:hAnsi="Calibri"/>
          <w:b w:val="0"/>
          <w:i/>
          <w:color w:val="556168"/>
          <w:sz w:val="18"/>
        </w:rPr>
        <w:t>Records the parties' agreement to bring cross-complaints to a lawful close on settlement.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 (mediation)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2</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PROCEEDINGS TO BE CLOSED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FIR / Case no.</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Police Station / Court</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7"/>
              </w:rPr>
              <w:t>Provisions (e.g., BNS 85/86, DP Act)</w:t>
            </w:r>
          </w:p>
        </w:tc>
        <w:tc>
          <w:tcPr>
            <w:tcW w:type="dxa" w:w="1711"/>
            <w:shd w:val="clear" w:color="auto" w:fill="123B4F"/>
            <w:tcMar>
              <w:top w:w="60" w:type="dxa"/>
              <w:bottom w:w="60" w:type="dxa"/>
              <w:start w:w="110" w:type="dxa"/>
              <w:end w:w="110" w:type="dxa"/>
            </w:tcMar>
          </w:tcPr>
          <w:p>
            <w:pPr>
              <w:spacing w:after="0"/>
            </w:pPr>
            <w:r>
              <w:rPr>
                <w:rFonts w:ascii="Calibri" w:hAnsi="Calibri"/>
                <w:b/>
                <w:i w:val="0"/>
                <w:color w:val="FFFFFF"/>
                <w:sz w:val="17"/>
              </w:rPr>
              <w:t>Compoundable? (Y/N)</w:t>
            </w:r>
          </w:p>
        </w:tc>
      </w:tr>
      <w:tr>
        <w:tc>
          <w:tcPr>
            <w:tcW w:type="dxa" w:w="209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r>
        <w:tc>
          <w:tcPr>
            <w:tcW w:type="dxa" w:w="209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c>
          <w:tcPr>
            <w:tcW w:type="dxa" w:w="1711"/>
            <w:tcMar>
              <w:top w:w="60" w:type="dxa"/>
              <w:bottom w:w="60" w:type="dxa"/>
              <w:start w:w="110" w:type="dxa"/>
              <w:end w:w="110" w:type="dxa"/>
            </w:tcMar>
            <w:shd w:val="clear" w:color="auto" w:fill="F2F6F8"/>
          </w:tcPr>
          <w:p>
            <w:r>
              <w:t xml:space="preserve"> </w:t>
            </w:r>
          </w:p>
        </w:tc>
      </w:tr>
      <w:tr>
        <w:tc>
          <w:tcPr>
            <w:tcW w:type="dxa" w:w="209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171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STATEMENT OF SETTLEMENT</w:t>
            </w:r>
          </w:p>
        </w:tc>
      </w:tr>
    </w:tbl>
    <w:p>
      <w:pPr>
        <w:spacing w:after="20"/>
      </w:pPr>
    </w:p>
    <w:p>
      <w:pPr>
        <w:spacing w:after="80"/>
        <w:jc w:val="both"/>
      </w:pPr>
      <w:r>
        <w:rPr>
          <w:rFonts w:ascii="Calibri" w:hAnsi="Calibri"/>
          <w:b w:val="0"/>
          <w:i w:val="0"/>
          <w:color w:val="1B2A32"/>
          <w:sz w:val="19"/>
        </w:rPr>
        <w:t>The parties have amicably and voluntarily settled all matrimonial disputes (see MSA, Form F-10). In light of the settlement, they jointly wish to bring the above proceedings to a close by the appropriate route.</w:t>
      </w:r>
    </w:p>
    <w:p>
      <w:pPr>
        <w:spacing w:after="20"/>
      </w:pPr>
      <w:r>
        <w:rPr>
          <w:rFonts w:ascii="Calibri" w:hAnsi="Calibri"/>
          <w:b/>
          <w:i w:val="0"/>
          <w:color w:val="123B4F"/>
          <w:sz w:val="18"/>
        </w:rPr>
        <w:t>Route(s):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Compounding before the trial court (s.359 BNSS) — for compoundable offences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Quashing by the High Court (s.528 BNSS) — for non-compoundable but private matrimonial offences (Gian Singh)</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Withdrawal of complaint / no-objection</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COVENANTS</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Each party will cooperate in filing the joint application(s) for compounding / quashing / withdrawal and will not obstruct closure.</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Each party covenants </w:t>
      </w:r>
      <w:r>
        <w:rPr>
          <w:rFonts w:ascii="Calibri" w:hAnsi="Calibri"/>
          <w:b/>
          <w:i w:val="0"/>
          <w:color w:val="1B2A32"/>
          <w:sz w:val="18"/>
        </w:rPr>
        <w:t>not to initiate or pursue</w:t>
      </w:r>
      <w:r>
        <w:rPr>
          <w:rFonts w:ascii="Calibri" w:hAnsi="Calibri"/>
          <w:b w:val="0"/>
          <w:i w:val="0"/>
          <w:color w:val="1B2A32"/>
          <w:sz w:val="18"/>
        </w:rPr>
        <w:t xml:space="preserve"> any further complaint on the settled matters (non-prosecution).</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This memorandum is given </w:t>
      </w:r>
      <w:r>
        <w:rPr>
          <w:rFonts w:ascii="Calibri" w:hAnsi="Calibri"/>
          <w:b/>
          <w:i w:val="0"/>
          <w:color w:val="1B2A32"/>
          <w:sz w:val="18"/>
        </w:rPr>
        <w:t>voluntarily, without coercion</w:t>
      </w:r>
      <w:r>
        <w:rPr>
          <w:rFonts w:ascii="Calibri" w:hAnsi="Calibri"/>
          <w:b w:val="0"/>
          <w:i w:val="0"/>
          <w:color w:val="1B2A32"/>
          <w:sz w:val="18"/>
        </w:rPr>
        <w:t>, as part of a genuine settlement of a private dispute.</w:t>
      </w:r>
    </w:p>
    <w:p>
      <w:pPr>
        <w:spacing w:after="40"/>
        <w:jc w:val="both"/>
      </w:pPr>
      <w:r>
        <w:rPr>
          <w:rFonts w:ascii="Calibri" w:hAnsi="Calibri"/>
          <w:b w:val="0"/>
          <w:i w:val="0"/>
          <w:color w:val="1B2A32"/>
          <w:sz w:val="18"/>
        </w:rPr>
        <w:t xml:space="preserve">☐  </w:t>
      </w:r>
      <w:r>
        <w:rPr>
          <w:rFonts w:ascii="Calibri" w:hAnsi="Calibri"/>
          <w:b w:val="0"/>
          <w:i w:val="0"/>
          <w:color w:val="1B2A32"/>
          <w:sz w:val="18"/>
        </w:rPr>
        <w:t>Release of the linked escrow tranche is conditioned on the court recording the settlement / passing the closure order.</w:t>
      </w:r>
    </w:p>
    <w:p>
      <w:pPr>
        <w:spacing w:after="2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Heinous or public-interest offences (e.g., dowry death, grievous hurt) cannot be quashed merely on settlement; such matters proceed before the court.</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Counsel (if any)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Application for Time Extension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F-13</w:t>
            </w:r>
          </w:p>
        </w:tc>
      </w:tr>
    </w:tbl>
    <w:p>
      <w:pPr>
        <w:spacing w:after="80"/>
      </w:pPr>
      <w:r>
        <w:rPr>
          <w:rFonts w:ascii="Calibri" w:hAnsi="Calibri"/>
          <w:b w:val="0"/>
          <w:i/>
          <w:color w:val="556168"/>
          <w:sz w:val="18"/>
        </w:rPr>
        <w:t>To extend the mediation by up to 60 days beyond the statutory 120 days, by consent.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first appearance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Current expiry of 120-day period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Extension sought (days, max 60)</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New target completion 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REASON FOR EXTENSION</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Reason</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Both parties consent to extend the mediation by the period stated, not exceeding 60 days, under the Mediation Act, 2023.</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Non-Commencement Report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F-14</w:t>
            </w:r>
          </w:p>
        </w:tc>
      </w:tr>
    </w:tbl>
    <w:p>
      <w:pPr>
        <w:spacing w:after="80"/>
      </w:pPr>
      <w:r>
        <w:rPr>
          <w:rFonts w:ascii="Calibri" w:hAnsi="Calibri"/>
          <w:b w:val="0"/>
          <w:i/>
          <w:color w:val="556168"/>
          <w:sz w:val="18"/>
        </w:rPr>
        <w:t>Issued where mediation could not commence (respondent declined or did not respond).</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Notice served on (date &amp; channel)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Response window expired on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OUTCOME</w:t>
            </w:r>
          </w:p>
        </w:tc>
      </w:tr>
    </w:tbl>
    <w:p>
      <w:pPr>
        <w:spacing w:after="20"/>
      </w:pPr>
    </w:p>
    <w:p>
      <w:pPr>
        <w:spacing w:after="20"/>
      </w:pPr>
      <w:r>
        <w:rPr>
          <w:rFonts w:ascii="Calibri" w:hAnsi="Calibri"/>
          <w:b/>
          <w:i w:val="0"/>
          <w:color w:val="123B4F"/>
          <w:sz w:val="18"/>
        </w:rPr>
        <w:t>Reason: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Respondent declined to participate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 response received within the window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Respondent could not be contacted</w:t>
            </w:r>
          </w:p>
        </w:tc>
      </w:tr>
    </w:tbl>
    <w:p>
      <w:pPr>
        <w:spacing w:after="40"/>
      </w:pPr>
    </w:p>
    <w:p>
      <w:pPr>
        <w:spacing w:after="80"/>
        <w:jc w:val="both"/>
      </w:pPr>
      <w:r>
        <w:rPr>
          <w:rFonts w:ascii="Calibri" w:hAnsi="Calibri"/>
          <w:b w:val="0"/>
          <w:i w:val="0"/>
          <w:color w:val="1B2A32"/>
          <w:sz w:val="19"/>
        </w:rPr>
        <w:t>Accordingly, the mediation could not commence. This report records a bona fide attempt at mediation. The Applicant is at liberty to pursue such remedies as are available in law. The matter may be re-opened if the Respondent later opts in.</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 Mediator, Equator Resolution</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Case Closure / Non-Settlement Report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F-15</w:t>
            </w:r>
          </w:p>
        </w:tc>
      </w:tr>
    </w:tbl>
    <w:p>
      <w:pPr>
        <w:spacing w:after="80"/>
      </w:pPr>
      <w:r>
        <w:rPr>
          <w:rFonts w:ascii="Calibri" w:hAnsi="Calibri"/>
          <w:b w:val="0"/>
          <w:i/>
          <w:color w:val="556168"/>
          <w:sz w:val="18"/>
        </w:rPr>
        <w:t>Records the outcome at the end of the mediation.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Sessions held / dates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closure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OUTCOME</w:t>
            </w:r>
          </w:p>
        </w:tc>
      </w:tr>
    </w:tbl>
    <w:p>
      <w:pPr>
        <w:spacing w:after="20"/>
      </w:pPr>
    </w:p>
    <w:p>
      <w:pPr>
        <w:spacing w:after="20"/>
      </w:pPr>
      <w:r>
        <w:rPr>
          <w:rFonts w:ascii="Calibri" w:hAnsi="Calibri"/>
          <w:b/>
          <w:i w:val="0"/>
          <w:color w:val="123B4F"/>
          <w:sz w:val="18"/>
        </w:rPr>
        <w:t>Result: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Settled — full (MSA signed)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Settled — partial (partial MSA + issues reserved)</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settled (impasse)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Withdrawn by a party</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Reconciled</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Summary of outcome (no confidential content disclosed)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Issues reserved for court (if partial)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Next steps</w:t>
            </w:r>
          </w:p>
        </w:tc>
        <w:tc>
          <w:tcPr>
            <w:tcW w:type="dxa" w:w="6273"/>
            <w:tcMar>
              <w:top w:w="60" w:type="dxa"/>
              <w:bottom w:w="60" w:type="dxa"/>
              <w:start w:w="110" w:type="dxa"/>
              <w:end w:w="110" w:type="dxa"/>
            </w:tcMar>
          </w:tcPr>
          <w:p>
            <w:pPr>
              <w:spacing w:after="0"/>
            </w:pPr>
          </w:p>
        </w:tc>
      </w:tr>
    </w:tbl>
    <w:p>
      <w:pPr>
        <w:spacing w:after="40"/>
      </w:pPr>
    </w:p>
    <w:p>
      <w:pPr>
        <w:spacing w:after="80"/>
        <w:jc w:val="both"/>
      </w:pPr>
      <w:r>
        <w:rPr>
          <w:rFonts w:ascii="Calibri" w:hAnsi="Calibri"/>
          <w:b w:val="0"/>
          <w:i w:val="0"/>
          <w:color w:val="1B2A32"/>
          <w:sz w:val="19"/>
        </w:rPr>
        <w:t xml:space="preserve">Where the matter did not settle, this report does </w:t>
      </w:r>
      <w:r>
        <w:rPr>
          <w:rFonts w:ascii="Calibri" w:hAnsi="Calibri"/>
          <w:b/>
          <w:i w:val="0"/>
          <w:color w:val="1B2A32"/>
          <w:sz w:val="19"/>
        </w:rPr>
        <w:t>not</w:t>
      </w:r>
      <w:r>
        <w:rPr>
          <w:rFonts w:ascii="Calibri" w:hAnsi="Calibri"/>
          <w:b w:val="0"/>
          <w:i w:val="0"/>
          <w:color w:val="1B2A32"/>
          <w:sz w:val="19"/>
        </w:rPr>
        <w:t xml:space="preserve"> disclose any confidential communication made in the mediation, and the parties retain all their remedies before the appropriate forum.</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Mediator Evaluation &amp; Feedback</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F-16</w:t>
            </w:r>
          </w:p>
        </w:tc>
      </w:tr>
    </w:tbl>
    <w:p>
      <w:pPr>
        <w:spacing w:after="80"/>
      </w:pPr>
      <w:r>
        <w:rPr>
          <w:rFonts w:ascii="Calibri" w:hAnsi="Calibri"/>
          <w:b w:val="0"/>
          <w:i/>
          <w:color w:val="556168"/>
          <w:sz w:val="18"/>
        </w:rPr>
        <w:t>Optional, confidential feedback from a party after the case.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 (optional)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RATE 1 (LOW) TO 5 (HIGH)</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Neutrality &amp; impartiality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Preparation &amp; professionalism</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Communication &amp; empathy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Fairness of the process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Overall satisfaction with the outcome</w:t>
            </w:r>
          </w:p>
        </w:tc>
        <w:tc>
          <w:tcPr>
            <w:tcW w:type="dxa" w:w="6273"/>
            <w:tcMar>
              <w:top w:w="60" w:type="dxa"/>
              <w:bottom w:w="60" w:type="dxa"/>
              <w:start w:w="110" w:type="dxa"/>
              <w:end w:w="110" w:type="dxa"/>
            </w:tcMar>
          </w:tcPr>
          <w:p>
            <w:pPr>
              <w:spacing w:after="0"/>
            </w:pPr>
          </w:p>
        </w:tc>
      </w:tr>
    </w:tbl>
    <w:p>
      <w:pPr>
        <w:spacing w:after="40"/>
      </w:pPr>
    </w:p>
    <w:p>
      <w:pPr>
        <w:spacing w:after="20"/>
      </w:pPr>
      <w:r>
        <w:rPr>
          <w:rFonts w:ascii="Calibri" w:hAnsi="Calibri"/>
          <w:b/>
          <w:i w:val="0"/>
          <w:color w:val="123B4F"/>
          <w:sz w:val="18"/>
        </w:rPr>
        <w:t>Would you recommend Equator Resolution?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6" w:type="dxa"/>
              <w:bottom w:w="16" w:type="dxa"/>
              <w:start w:w="30" w:type="dxa"/>
              <w:end w:w="70" w:type="dxa"/>
            </w:tcMar>
          </w:tcPr>
          <w:p>
            <w:pPr>
              <w:spacing w:after="0"/>
            </w:pPr>
            <w:r>
              <w:rPr>
                <w:rFonts w:ascii="Calibri" w:hAnsi="Calibri"/>
                <w:b w:val="0"/>
                <w:i w:val="0"/>
                <w:color w:val="1B2A32"/>
                <w:sz w:val="18"/>
              </w:rPr>
              <w:t>☐  Yes</w:t>
            </w:r>
          </w:p>
        </w:tc>
        <w:tc>
          <w:tcPr>
            <w:tcW w:type="dxa" w:w="3168"/>
            <w:tcMar>
              <w:top w:w="16" w:type="dxa"/>
              <w:bottom w:w="16" w:type="dxa"/>
              <w:start w:w="30" w:type="dxa"/>
              <w:end w:w="70" w:type="dxa"/>
            </w:tcMar>
          </w:tcPr>
          <w:p>
            <w:pPr>
              <w:spacing w:after="0"/>
            </w:pPr>
            <w:r>
              <w:rPr>
                <w:rFonts w:ascii="Calibri" w:hAnsi="Calibri"/>
                <w:b w:val="0"/>
                <w:i w:val="0"/>
                <w:color w:val="1B2A32"/>
                <w:sz w:val="18"/>
              </w:rPr>
              <w:t>☐  No</w:t>
            </w:r>
          </w:p>
        </w:tc>
        <w:tc>
          <w:tcPr>
            <w:tcW w:type="dxa" w:w="3168"/>
            <w:tcMar>
              <w:top w:w="16" w:type="dxa"/>
              <w:bottom w:w="16" w:type="dxa"/>
              <w:start w:w="30" w:type="dxa"/>
              <w:end w:w="70" w:type="dxa"/>
            </w:tcMar>
          </w:tcPr>
          <w:p>
            <w:pPr>
              <w:spacing w:after="0"/>
            </w:pPr>
            <w:r>
              <w:rPr>
                <w:rFonts w:ascii="Calibri" w:hAnsi="Calibri"/>
                <w:b w:val="0"/>
                <w:i w:val="0"/>
                <w:color w:val="1B2A32"/>
                <w:sz w:val="18"/>
              </w:rPr>
              <w:t>☐  Maybe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COMMENTS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Your comments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Feedback may be submitted anonymously. It is used for quality assurance and mediator grading, and does not affect your case.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Parenting Plan Schedule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F-17</w:t>
            </w:r>
          </w:p>
        </w:tc>
      </w:tr>
    </w:tbl>
    <w:p>
      <w:pPr>
        <w:spacing w:after="80"/>
      </w:pPr>
      <w:r>
        <w:rPr>
          <w:rFonts w:ascii="Calibri" w:hAnsi="Calibri"/>
          <w:b w:val="0"/>
          <w:i/>
          <w:color w:val="556168"/>
          <w:sz w:val="18"/>
        </w:rPr>
        <w:t>A child-centred plan; the child's welfare is the paramount consideration. Annexed to the MSA (F-10).</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Parent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Parent 2</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CHILD(REN)</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c>
          <w:tcPr>
            <w:tcW w:type="dxa" w:w="3231"/>
            <w:shd w:val="clear" w:color="auto" w:fill="123B4F"/>
            <w:tcMar>
              <w:top w:w="60" w:type="dxa"/>
              <w:bottom w:w="60" w:type="dxa"/>
              <w:start w:w="110" w:type="dxa"/>
              <w:end w:w="110" w:type="dxa"/>
            </w:tcMar>
          </w:tcPr>
          <w:p>
            <w:pPr>
              <w:spacing w:after="0"/>
            </w:pPr>
            <w:r>
              <w:rPr>
                <w:rFonts w:ascii="Calibri" w:hAnsi="Calibri"/>
                <w:b/>
                <w:i w:val="0"/>
                <w:color w:val="FFFFFF"/>
                <w:sz w:val="17"/>
              </w:rPr>
              <w:t>Child's name</w:t>
            </w:r>
          </w:p>
        </w:tc>
        <w:tc>
          <w:tcPr>
            <w:tcW w:type="dxa" w:w="1140"/>
            <w:shd w:val="clear" w:color="auto" w:fill="123B4F"/>
            <w:tcMar>
              <w:top w:w="60" w:type="dxa"/>
              <w:bottom w:w="60" w:type="dxa"/>
              <w:start w:w="110" w:type="dxa"/>
              <w:end w:w="110" w:type="dxa"/>
            </w:tcMar>
          </w:tcPr>
          <w:p>
            <w:pPr>
              <w:spacing w:after="0"/>
            </w:pPr>
            <w:r>
              <w:rPr>
                <w:rFonts w:ascii="Calibri" w:hAnsi="Calibri"/>
                <w:b/>
                <w:i w:val="0"/>
                <w:color w:val="FFFFFF"/>
                <w:sz w:val="17"/>
              </w:rPr>
              <w:t>Age</w:t>
            </w:r>
          </w:p>
        </w:tc>
        <w:tc>
          <w:tcPr>
            <w:tcW w:type="dxa" w:w="3041"/>
            <w:shd w:val="clear" w:color="auto" w:fill="123B4F"/>
            <w:tcMar>
              <w:top w:w="60" w:type="dxa"/>
              <w:bottom w:w="60" w:type="dxa"/>
              <w:start w:w="110" w:type="dxa"/>
              <w:end w:w="110" w:type="dxa"/>
            </w:tcMar>
          </w:tcPr>
          <w:p>
            <w:pPr>
              <w:spacing w:after="0"/>
            </w:pPr>
            <w:r>
              <w:rPr>
                <w:rFonts w:ascii="Calibri" w:hAnsi="Calibri"/>
                <w:b/>
                <w:i w:val="0"/>
                <w:color w:val="FFFFFF"/>
                <w:sz w:val="17"/>
              </w:rPr>
              <w:t>School / class</w:t>
            </w:r>
          </w:p>
        </w:tc>
        <w:tc>
          <w:tcPr>
            <w:tcW w:type="dxa" w:w="2091"/>
            <w:shd w:val="clear" w:color="auto" w:fill="123B4F"/>
            <w:tcMar>
              <w:top w:w="60" w:type="dxa"/>
              <w:bottom w:w="60" w:type="dxa"/>
              <w:start w:w="110" w:type="dxa"/>
              <w:end w:w="110" w:type="dxa"/>
            </w:tcMar>
          </w:tcPr>
          <w:p>
            <w:pPr>
              <w:spacing w:after="0"/>
            </w:pPr>
            <w:r>
              <w:rPr>
                <w:rFonts w:ascii="Calibri" w:hAnsi="Calibri"/>
                <w:b/>
                <w:i w:val="0"/>
                <w:color w:val="FFFFFF"/>
                <w:sz w:val="17"/>
              </w:rPr>
              <w:t>Special needs (if any)</w:t>
            </w:r>
          </w:p>
        </w:tc>
      </w:tr>
      <w:tr>
        <w:tc>
          <w:tcPr>
            <w:tcW w:type="dxa" w:w="3231"/>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r>
        <w:tc>
          <w:tcPr>
            <w:tcW w:type="dxa" w:w="3231"/>
            <w:tcMar>
              <w:top w:w="60" w:type="dxa"/>
              <w:bottom w:w="60" w:type="dxa"/>
              <w:start w:w="110" w:type="dxa"/>
              <w:end w:w="110" w:type="dxa"/>
            </w:tcMar>
            <w:shd w:val="clear" w:color="auto" w:fill="F2F6F8"/>
          </w:tcPr>
          <w:p>
            <w:r>
              <w:t xml:space="preserve"> </w:t>
            </w:r>
          </w:p>
        </w:tc>
        <w:tc>
          <w:tcPr>
            <w:tcW w:type="dxa" w:w="1140"/>
            <w:tcMar>
              <w:top w:w="60" w:type="dxa"/>
              <w:bottom w:w="60" w:type="dxa"/>
              <w:start w:w="110" w:type="dxa"/>
              <w:end w:w="110" w:type="dxa"/>
            </w:tcMar>
            <w:shd w:val="clear" w:color="auto" w:fill="F2F6F8"/>
          </w:tcPr>
          <w:p>
            <w:r>
              <w:t xml:space="preserve"> </w:t>
            </w:r>
          </w:p>
        </w:tc>
        <w:tc>
          <w:tcPr>
            <w:tcW w:type="dxa" w:w="3041"/>
            <w:tcMar>
              <w:top w:w="60" w:type="dxa"/>
              <w:bottom w:w="60" w:type="dxa"/>
              <w:start w:w="110" w:type="dxa"/>
              <w:end w:w="110" w:type="dxa"/>
            </w:tcMar>
            <w:shd w:val="clear" w:color="auto" w:fill="F2F6F8"/>
          </w:tcPr>
          <w:p>
            <w:r>
              <w:t xml:space="preserve"> </w:t>
            </w:r>
          </w:p>
        </w:tc>
        <w:tc>
          <w:tcPr>
            <w:tcW w:type="dxa" w:w="2091"/>
            <w:tcMar>
              <w:top w:w="60" w:type="dxa"/>
              <w:bottom w:w="60" w:type="dxa"/>
              <w:start w:w="110" w:type="dxa"/>
              <w:end w:w="110" w:type="dxa"/>
            </w:tcMar>
            <w:shd w:val="clear" w:color="auto" w:fill="F2F6F8"/>
          </w:tcPr>
          <w:p>
            <w:r>
              <w:t xml:space="preserve"> </w:t>
            </w:r>
          </w:p>
        </w:tc>
      </w:tr>
      <w:tr>
        <w:tc>
          <w:tcPr>
            <w:tcW w:type="dxa" w:w="3231"/>
            <w:tcMar>
              <w:top w:w="60" w:type="dxa"/>
              <w:bottom w:w="60" w:type="dxa"/>
              <w:start w:w="110" w:type="dxa"/>
              <w:end w:w="110" w:type="dxa"/>
            </w:tcMar>
          </w:tcPr>
          <w:p>
            <w:r>
              <w:t xml:space="preserve"> </w:t>
            </w:r>
          </w:p>
        </w:tc>
        <w:tc>
          <w:tcPr>
            <w:tcW w:type="dxa" w:w="1140"/>
            <w:tcMar>
              <w:top w:w="60" w:type="dxa"/>
              <w:bottom w:w="60" w:type="dxa"/>
              <w:start w:w="110" w:type="dxa"/>
              <w:end w:w="110" w:type="dxa"/>
            </w:tcMar>
          </w:tcPr>
          <w:p>
            <w:r>
              <w:t xml:space="preserve"> </w:t>
            </w:r>
          </w:p>
        </w:tc>
        <w:tc>
          <w:tcPr>
            <w:tcW w:type="dxa" w:w="3041"/>
            <w:tcMar>
              <w:top w:w="60" w:type="dxa"/>
              <w:bottom w:w="60" w:type="dxa"/>
              <w:start w:w="110" w:type="dxa"/>
              <w:end w:w="110" w:type="dxa"/>
            </w:tcMar>
          </w:tcPr>
          <w:p>
            <w:r>
              <w:t xml:space="preserve"> </w:t>
            </w:r>
          </w:p>
        </w:tc>
        <w:tc>
          <w:tcPr>
            <w:tcW w:type="dxa" w:w="209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CUSTODY &amp; DECISION-MAKING</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Physical custody (who the child lives with)</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Legal / decision-making (education, health, religion)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Joint / shared custody arrangement (if any)</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SCHEDULE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Regular weekday / weekend schedule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Holidays, festivals &amp; vacations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Birthdays &amp; special occasions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Handover arrangements (time / place)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CARE, SCHOOLING &amp; HEALTH</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Schooling &amp; activities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Medical decisions &amp; emergencies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Communication with the non-resident parent (calls/video)</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TRAVEL, RELOCATION &amp; FUTURE DISPUTES</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Domestic / overseas travel &amp; child's passport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Relocation (notice &amp; consent)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How future disagreements will be resolved (return to mediation)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We confirm this plan is made in the </w:t>
      </w:r>
      <w:r>
        <w:rPr>
          <w:rFonts w:ascii="Calibri" w:hAnsi="Calibri"/>
          <w:b/>
          <w:i w:val="0"/>
          <w:color w:val="1B2A32"/>
          <w:sz w:val="18"/>
        </w:rPr>
        <w:t>best interests and welfare of the child</w:t>
      </w:r>
      <w:r>
        <w:rPr>
          <w:rFonts w:ascii="Calibri" w:hAnsi="Calibri"/>
          <w:b w:val="0"/>
          <w:i w:val="0"/>
          <w:color w:val="1B2A32"/>
          <w:sz w:val="18"/>
        </w:rPr>
        <w:t>, which is our paramount consideration.</w:t>
      </w:r>
    </w:p>
    <w:p>
      <w:pPr>
        <w:spacing w:after="40"/>
        <w:jc w:val="both"/>
      </w:pPr>
      <w:r>
        <w:rPr>
          <w:rFonts w:ascii="Calibri" w:hAnsi="Calibri"/>
          <w:b w:val="0"/>
          <w:i w:val="0"/>
          <w:color w:val="1B2A32"/>
          <w:sz w:val="18"/>
        </w:rPr>
        <w:t xml:space="preserve">☐  </w:t>
      </w:r>
      <w:r>
        <w:rPr>
          <w:rFonts w:ascii="Calibri" w:hAnsi="Calibri"/>
          <w:b w:val="0"/>
          <w:i w:val="0"/>
          <w:color w:val="1B2A32"/>
          <w:sz w:val="18"/>
        </w:rPr>
        <w:t>We will each support the child's relationship with the other parent and not disparage the other before the child.</w:t>
      </w:r>
    </w:p>
    <w:p>
      <w:pPr>
        <w:spacing w:after="40"/>
        <w:jc w:val="both"/>
      </w:pPr>
      <w:r>
        <w:rPr>
          <w:rFonts w:ascii="Calibri" w:hAnsi="Calibri"/>
          <w:b w:val="0"/>
          <w:i w:val="0"/>
          <w:color w:val="1B2A32"/>
          <w:sz w:val="18"/>
        </w:rPr>
        <w:t xml:space="preserve">☐  </w:t>
      </w:r>
      <w:r>
        <w:rPr>
          <w:rFonts w:ascii="Calibri" w:hAnsi="Calibri"/>
          <w:b w:val="0"/>
          <w:i w:val="0"/>
          <w:color w:val="1B2A32"/>
          <w:sz w:val="18"/>
        </w:rPr>
        <w:t>We understand any custody arrangement takes effect subject to the competent court.</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Parent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Parent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Withdrawal from Mediation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F-18</w:t>
            </w:r>
          </w:p>
        </w:tc>
      </w:tr>
    </w:tbl>
    <w:p>
      <w:pPr>
        <w:spacing w:after="80"/>
      </w:pPr>
      <w:r>
        <w:rPr>
          <w:rFonts w:ascii="Calibri" w:hAnsi="Calibri"/>
          <w:b w:val="0"/>
          <w:i/>
          <w:color w:val="556168"/>
          <w:sz w:val="18"/>
        </w:rPr>
        <w:t>Either party may withdraw at any time; participation is voluntary.</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Withdrawing party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NOTICE OF WITHDRAWAL</w:t>
            </w:r>
          </w:p>
        </w:tc>
      </w:tr>
    </w:tbl>
    <w:p>
      <w:pPr>
        <w:spacing w:after="20"/>
      </w:pPr>
    </w:p>
    <w:p>
      <w:pPr>
        <w:spacing w:after="80"/>
        <w:jc w:val="both"/>
      </w:pPr>
      <w:r>
        <w:rPr>
          <w:rFonts w:ascii="Calibri" w:hAnsi="Calibri"/>
          <w:b w:val="0"/>
          <w:i w:val="0"/>
          <w:color w:val="1B2A32"/>
          <w:sz w:val="19"/>
        </w:rPr>
        <w:t>I wish to withdraw from the mediation. I understand my participation was voluntary and that withdrawal does not, by itself, prejudice my legal rights before the appropriate forum.</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Reason (optional)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EFFECT</w:t>
            </w:r>
          </w:p>
        </w:tc>
      </w:tr>
    </w:tbl>
    <w:p>
      <w:pPr>
        <w:spacing w:after="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I understand a </w:t>
      </w:r>
      <w:r>
        <w:rPr>
          <w:rFonts w:ascii="Calibri" w:hAnsi="Calibri"/>
          <w:b/>
          <w:i w:val="0"/>
          <w:color w:val="1B2A32"/>
          <w:sz w:val="18"/>
        </w:rPr>
        <w:t>Non-settlement / Closure Report</w:t>
      </w:r>
      <w:r>
        <w:rPr>
          <w:rFonts w:ascii="Calibri" w:hAnsi="Calibri"/>
          <w:b w:val="0"/>
          <w:i w:val="0"/>
          <w:color w:val="1B2A32"/>
          <w:sz w:val="18"/>
        </w:rPr>
        <w:t xml:space="preserve"> (F-15) will be issued.</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Any </w:t>
      </w:r>
      <w:r>
        <w:rPr>
          <w:rFonts w:ascii="Calibri" w:hAnsi="Calibri"/>
          <w:b/>
          <w:i w:val="0"/>
          <w:color w:val="1B2A32"/>
          <w:sz w:val="18"/>
        </w:rPr>
        <w:t>unearned escrow / fees</w:t>
      </w:r>
      <w:r>
        <w:rPr>
          <w:rFonts w:ascii="Calibri" w:hAnsi="Calibri"/>
          <w:b w:val="0"/>
          <w:i w:val="0"/>
          <w:color w:val="1B2A32"/>
          <w:sz w:val="18"/>
        </w:rPr>
        <w:t xml:space="preserve"> will be dealt with per the escrow instruction and fee schedule.</w:t>
      </w:r>
    </w:p>
    <w:p>
      <w:pPr>
        <w:spacing w:after="40"/>
        <w:jc w:val="both"/>
      </w:pPr>
      <w:r>
        <w:rPr>
          <w:rFonts w:ascii="Calibri" w:hAnsi="Calibri"/>
          <w:b w:val="0"/>
          <w:i w:val="0"/>
          <w:color w:val="1B2A32"/>
          <w:sz w:val="18"/>
        </w:rPr>
        <w:t xml:space="preserve">☐  </w:t>
      </w:r>
      <w:r>
        <w:rPr>
          <w:rFonts w:ascii="Calibri" w:hAnsi="Calibri"/>
          <w:b w:val="0"/>
          <w:i w:val="0"/>
          <w:color w:val="1B2A32"/>
          <w:sz w:val="18"/>
        </w:rPr>
        <w:t xml:space="preserve">The </w:t>
      </w:r>
      <w:r>
        <w:rPr>
          <w:rFonts w:ascii="Calibri" w:hAnsi="Calibri"/>
          <w:b/>
          <w:i w:val="0"/>
          <w:color w:val="1B2A32"/>
          <w:sz w:val="18"/>
        </w:rPr>
        <w:t>confidentiality</w:t>
      </w:r>
      <w:r>
        <w:rPr>
          <w:rFonts w:ascii="Calibri" w:hAnsi="Calibri"/>
          <w:b w:val="0"/>
          <w:i w:val="0"/>
          <w:color w:val="1B2A32"/>
          <w:sz w:val="18"/>
        </w:rPr>
        <w:t xml:space="preserve"> of everything said in the mediation continues to apply.</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Withdrawing 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Authorisation / Vakalatnama for Representative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F-19</w:t>
            </w:r>
          </w:p>
        </w:tc>
      </w:tr>
    </w:tbl>
    <w:p>
      <w:pPr>
        <w:spacing w:after="80"/>
      </w:pPr>
      <w:r>
        <w:rPr>
          <w:rFonts w:ascii="Calibri" w:hAnsi="Calibri"/>
          <w:b w:val="0"/>
          <w:i/>
          <w:color w:val="556168"/>
          <w:sz w:val="18"/>
        </w:rPr>
        <w:t>Where a party wishes an advocate or authorised representative to act in the mediation.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(principal)</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Representative / advocate name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Enrolment / Bar Council no. (if advocate)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Contact (mobile / email)</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SCOPE OF AUTHORITY</w:t>
            </w:r>
          </w:p>
        </w:tc>
      </w:tr>
    </w:tbl>
    <w:p>
      <w:pPr>
        <w:spacing w:after="20"/>
      </w:pPr>
    </w:p>
    <w:p>
      <w:pPr>
        <w:spacing w:after="20"/>
      </w:pPr>
      <w:r>
        <w:rPr>
          <w:rFonts w:ascii="Calibri" w:hAnsi="Calibri"/>
          <w:b/>
          <w:i w:val="0"/>
          <w:color w:val="123B4F"/>
          <w:sz w:val="18"/>
        </w:rPr>
        <w:t>The representative is authorised to:</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Attend and participate in mediation sessions with me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Negotiate settlement terms on my behalf</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Receive notices and correspondence on my behalf</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Assist with court steps (petition, quashing, registration)</w:t>
            </w:r>
          </w:p>
        </w:tc>
      </w:tr>
    </w:tbl>
    <w:p>
      <w:pPr>
        <w:spacing w:after="40"/>
      </w:pPr>
    </w:p>
    <w:p>
      <w:pPr>
        <w:spacing w:after="20"/>
      </w:pPr>
      <w:r>
        <w:rPr>
          <w:rFonts w:ascii="Calibri" w:hAnsi="Calibri"/>
          <w:b/>
          <w:i w:val="0"/>
          <w:color w:val="123B4F"/>
          <w:sz w:val="18"/>
        </w:rPr>
        <w:t>Signing authority:</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May sign the MSA on my behalf</w:t>
            </w:r>
          </w:p>
        </w:tc>
        <w:tc>
          <w:tcPr>
            <w:tcW w:type="dxa" w:w="4752"/>
            <w:tcMar>
              <w:top w:w="16" w:type="dxa"/>
              <w:bottom w:w="16" w:type="dxa"/>
              <w:start w:w="30" w:type="dxa"/>
              <w:end w:w="70" w:type="dxa"/>
            </w:tcMar>
          </w:tcPr>
          <w:p>
            <w:pPr>
              <w:spacing w:after="0"/>
            </w:pPr>
            <w:r>
              <w:rPr>
                <w:rFonts w:ascii="Calibri" w:hAnsi="Calibri"/>
                <w:b w:val="0"/>
                <w:i w:val="0"/>
                <w:color w:val="1B2A32"/>
                <w:sz w:val="18"/>
              </w:rPr>
              <w:t>☐  MSA to be signed by me personally</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authorise the above representative to act within the scope marked, and I remain bound by their acts within that scope.</w:t>
      </w:r>
    </w:p>
    <w:p>
      <w:pPr>
        <w:spacing w:after="40"/>
        <w:jc w:val="both"/>
      </w:pPr>
      <w:r>
        <w:rPr>
          <w:rFonts w:ascii="Calibri" w:hAnsi="Calibri"/>
          <w:b w:val="0"/>
          <w:i w:val="0"/>
          <w:color w:val="1B2A32"/>
          <w:sz w:val="18"/>
        </w:rPr>
        <w:t xml:space="preserve">☐  </w:t>
      </w:r>
      <w:r>
        <w:rPr>
          <w:rFonts w:ascii="Calibri" w:hAnsi="Calibri"/>
          <w:b w:val="0"/>
          <w:i w:val="0"/>
          <w:color w:val="1B2A32"/>
          <w:sz w:val="18"/>
        </w:rPr>
        <w:t>The representative undertakes to maintain confidentiality of the mediation.</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 (principal)</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Representative (accepting)</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Consent to Recording of Online Session</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F-20</w:t>
            </w:r>
          </w:p>
        </w:tc>
      </w:tr>
    </w:tbl>
    <w:p>
      <w:pPr>
        <w:spacing w:after="80"/>
      </w:pPr>
      <w:r>
        <w:rPr>
          <w:rFonts w:ascii="Calibri" w:hAnsi="Calibri"/>
          <w:b w:val="0"/>
          <w:i/>
          <w:color w:val="556168"/>
          <w:sz w:val="18"/>
        </w:rPr>
        <w:t>Optional consent to record a virtual session for minutes / transcription.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Session 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Platform</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CONSENT</w:t>
            </w:r>
          </w:p>
        </w:tc>
      </w:tr>
    </w:tbl>
    <w:p>
      <w:pPr>
        <w:spacing w:after="20"/>
      </w:pPr>
    </w:p>
    <w:p>
      <w:pPr>
        <w:spacing w:after="80"/>
        <w:jc w:val="both"/>
      </w:pPr>
      <w:r>
        <w:rPr>
          <w:rFonts w:ascii="Calibri" w:hAnsi="Calibri"/>
          <w:b w:val="0"/>
          <w:i w:val="0"/>
          <w:color w:val="1B2A32"/>
          <w:sz w:val="19"/>
        </w:rPr>
        <w:t xml:space="preserve">Recording is optional and only for preparing accurate minutes / transcription. A session will be recorded </w:t>
      </w:r>
      <w:r>
        <w:rPr>
          <w:rFonts w:ascii="Calibri" w:hAnsi="Calibri"/>
          <w:b/>
          <w:i w:val="0"/>
          <w:color w:val="1B2A32"/>
          <w:sz w:val="19"/>
        </w:rPr>
        <w:t>only if all participants consent</w:t>
      </w:r>
      <w:r>
        <w:rPr>
          <w:rFonts w:ascii="Calibri" w:hAnsi="Calibri"/>
          <w:b w:val="0"/>
          <w:i w:val="0"/>
          <w:color w:val="1B2A32"/>
          <w:sz w:val="19"/>
        </w:rPr>
        <w:t>. Any party may decline or withdraw consent, and the session will then proceed without recording.</w:t>
      </w:r>
    </w:p>
    <w:p>
      <w:pPr>
        <w:spacing w:after="20"/>
      </w:pPr>
      <w:r>
        <w:rPr>
          <w:rFonts w:ascii="Calibri" w:hAnsi="Calibri"/>
          <w:b/>
          <w:i w:val="0"/>
          <w:color w:val="123B4F"/>
          <w:sz w:val="18"/>
        </w:rPr>
        <w:t>Consent: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I consent to this session being recorded</w:t>
            </w:r>
          </w:p>
        </w:tc>
        <w:tc>
          <w:tcPr>
            <w:tcW w:type="dxa" w:w="4752"/>
            <w:tcMar>
              <w:top w:w="16" w:type="dxa"/>
              <w:bottom w:w="16" w:type="dxa"/>
              <w:start w:w="30" w:type="dxa"/>
              <w:end w:w="70" w:type="dxa"/>
            </w:tcMar>
          </w:tcPr>
          <w:p>
            <w:pPr>
              <w:spacing w:after="0"/>
            </w:pPr>
            <w:r>
              <w:rPr>
                <w:rFonts w:ascii="Calibri" w:hAnsi="Calibri"/>
                <w:b w:val="0"/>
                <w:i w:val="0"/>
                <w:color w:val="1B2A32"/>
                <w:sz w:val="18"/>
              </w:rPr>
              <w:t>☐  I do not consent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HANDLING (DPDP Act, 2023)</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Purpose of recording</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Who may access it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Retention period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Secure erasure 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the recording is confidential, stored securely with restricted access, and erased per the retention period.</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the recording does not waive mediation confidentiality or privilege.</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Applicant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Voice of the Child Note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F-21</w:t>
            </w:r>
          </w:p>
        </w:tc>
      </w:tr>
    </w:tbl>
    <w:p>
      <w:pPr>
        <w:spacing w:after="80"/>
      </w:pPr>
      <w:r>
        <w:rPr>
          <w:rFonts w:ascii="Calibri" w:hAnsi="Calibri"/>
          <w:b w:val="0"/>
          <w:i/>
          <w:color w:val="556168"/>
          <w:sz w:val="18"/>
        </w:rPr>
        <w:t>Records a child's age-appropriate views where relevant to a parenting arrangement. Not determinative.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Child's name &amp; 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Recorded by (mediator / child specialist)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CHILD'S EXPRESSED VIEWS (AGE-APPROPRIATE, NON-LEADING)</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Summary of the child's expressed wishes / feelings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OBSERVATIONS &amp; WELFARE NOTE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 / specialist observations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Relevance to the parenting plan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The child's views are considered in light of age and maturity but are </w:t>
            </w:r>
            <w:r>
              <w:rPr>
                <w:rFonts w:ascii="Calibri" w:hAnsi="Calibri"/>
                <w:b/>
                <w:i w:val="0"/>
                <w:color w:val="1B2A32"/>
                <w:sz w:val="17"/>
              </w:rPr>
              <w:t>not determinative</w:t>
            </w:r>
            <w:r>
              <w:rPr>
                <w:rFonts w:ascii="Calibri" w:hAnsi="Calibri"/>
                <w:b w:val="0"/>
                <w:i w:val="0"/>
                <w:color w:val="1B2A32"/>
                <w:sz w:val="17"/>
              </w:rPr>
              <w:t xml:space="preserve">. The child's </w:t>
            </w:r>
            <w:r>
              <w:rPr>
                <w:rFonts w:ascii="Calibri" w:hAnsi="Calibri"/>
                <w:b/>
                <w:i w:val="0"/>
                <w:color w:val="1B2A32"/>
                <w:sz w:val="17"/>
              </w:rPr>
              <w:t>welfare is the paramount consideration</w:t>
            </w:r>
            <w:r>
              <w:rPr>
                <w:rFonts w:ascii="Calibri" w:hAnsi="Calibri"/>
                <w:b w:val="0"/>
                <w:i w:val="0"/>
                <w:color w:val="1B2A32"/>
                <w:sz w:val="17"/>
              </w:rPr>
              <w:t>. This note is confidential and handled with special care under the DPDP Act, 2023 (child data).</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Recorded by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Grievance / Complaint Form</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F-22</w:t>
            </w:r>
          </w:p>
        </w:tc>
      </w:tr>
    </w:tbl>
    <w:p>
      <w:pPr>
        <w:spacing w:after="80"/>
      </w:pPr>
      <w:r>
        <w:rPr>
          <w:rFonts w:ascii="Calibri" w:hAnsi="Calibri"/>
          <w:b w:val="0"/>
          <w:i/>
          <w:color w:val="556168"/>
          <w:sz w:val="18"/>
        </w:rPr>
        <w:t>To raise a concern about a mediator, case manager, or the platform.</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Complainant name &amp; contact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NATURE OF GRIEVANCE</w:t>
            </w:r>
          </w:p>
        </w:tc>
      </w:tr>
    </w:tbl>
    <w:p>
      <w:pPr>
        <w:spacing w:after="20"/>
      </w:pPr>
    </w:p>
    <w:p>
      <w:pPr>
        <w:spacing w:after="20"/>
      </w:pPr>
      <w:r>
        <w:rPr>
          <w:rFonts w:ascii="Calibri" w:hAnsi="Calibri"/>
          <w:b/>
          <w:i w:val="0"/>
          <w:color w:val="123B4F"/>
          <w:sz w:val="18"/>
        </w:rPr>
        <w:t>This grievance concerns: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A mediator</w:t>
            </w:r>
          </w:p>
        </w:tc>
        <w:tc>
          <w:tcPr>
            <w:tcW w:type="dxa" w:w="4752"/>
            <w:tcMar>
              <w:top w:w="16" w:type="dxa"/>
              <w:bottom w:w="16" w:type="dxa"/>
              <w:start w:w="30" w:type="dxa"/>
              <w:end w:w="70" w:type="dxa"/>
            </w:tcMar>
          </w:tcPr>
          <w:p>
            <w:pPr>
              <w:spacing w:after="0"/>
            </w:pPr>
            <w:r>
              <w:rPr>
                <w:rFonts w:ascii="Calibri" w:hAnsi="Calibri"/>
                <w:b w:val="0"/>
                <w:i w:val="0"/>
                <w:color w:val="1B2A32"/>
                <w:sz w:val="18"/>
              </w:rPr>
              <w:t>☐  A case manager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Platform / process</w:t>
            </w:r>
          </w:p>
        </w:tc>
        <w:tc>
          <w:tcPr>
            <w:tcW w:type="dxa" w:w="4752"/>
            <w:tcMar>
              <w:top w:w="16" w:type="dxa"/>
              <w:bottom w:w="16" w:type="dxa"/>
              <w:start w:w="30" w:type="dxa"/>
              <w:end w:w="70" w:type="dxa"/>
            </w:tcMar>
          </w:tcPr>
          <w:p>
            <w:pPr>
              <w:spacing w:after="0"/>
            </w:pPr>
            <w:r>
              <w:rPr>
                <w:rFonts w:ascii="Calibri" w:hAnsi="Calibri"/>
                <w:b w:val="0"/>
                <w:i w:val="0"/>
                <w:color w:val="1B2A32"/>
                <w:sz w:val="18"/>
              </w:rPr>
              <w:t>☐  Data / privacy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Fees / escrow</w:t>
            </w:r>
          </w:p>
        </w:tc>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Describe the grievance (facts, dates)</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What resolution are you seeking?</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Equator will acknowledge within 3 working days and aim to resolve within 15 working days. Data-privacy grievances are handled by the Data Grievance Officer (grievance@equatorresolution.com). Escalation to the Mediation Council of India remains available where applicable.</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Complainant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Received by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Mediator Fee Receipt / Invoice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F-23</w:t>
            </w:r>
          </w:p>
        </w:tc>
      </w:tr>
    </w:tbl>
    <w:p>
      <w:pPr>
        <w:spacing w:after="80"/>
      </w:pPr>
      <w:r>
        <w:rPr>
          <w:rFonts w:ascii="Calibri" w:hAnsi="Calibri"/>
          <w:b w:val="0"/>
          <w:i/>
          <w:color w:val="556168"/>
          <w:sz w:val="18"/>
        </w:rPr>
        <w:t>Issued for fees paid to the mediator and Equator Resolution.</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Receipt / Invoice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Payer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Mediator &amp; grade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PARTICULARS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4372"/>
            <w:shd w:val="clear" w:color="auto" w:fill="123B4F"/>
            <w:tcMar>
              <w:top w:w="60" w:type="dxa"/>
              <w:bottom w:w="60" w:type="dxa"/>
              <w:start w:w="110" w:type="dxa"/>
              <w:end w:w="110" w:type="dxa"/>
            </w:tcMar>
          </w:tcPr>
          <w:p>
            <w:pPr>
              <w:spacing w:after="0"/>
            </w:pPr>
            <w:r>
              <w:rPr>
                <w:rFonts w:ascii="Calibri" w:hAnsi="Calibri"/>
                <w:b/>
                <w:i w:val="0"/>
                <w:color w:val="FFFFFF"/>
                <w:sz w:val="17"/>
              </w:rPr>
              <w:t>Particulars</w:t>
            </w:r>
          </w:p>
        </w:tc>
        <w:tc>
          <w:tcPr>
            <w:tcW w:type="dxa" w:w="2471"/>
            <w:shd w:val="clear" w:color="auto" w:fill="123B4F"/>
            <w:tcMar>
              <w:top w:w="60" w:type="dxa"/>
              <w:bottom w:w="60" w:type="dxa"/>
              <w:start w:w="110" w:type="dxa"/>
              <w:end w:w="110" w:type="dxa"/>
            </w:tcMar>
          </w:tcPr>
          <w:p>
            <w:pPr>
              <w:spacing w:after="0"/>
            </w:pPr>
            <w:r>
              <w:rPr>
                <w:rFonts w:ascii="Calibri" w:hAnsi="Calibri"/>
                <w:b/>
                <w:i w:val="0"/>
                <w:color w:val="FFFFFF"/>
                <w:sz w:val="17"/>
              </w:rPr>
              <w:t>Sessions / basis</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Amount (Rs.)</w:t>
            </w:r>
          </w:p>
        </w:tc>
      </w:tr>
      <w:tr>
        <w:tc>
          <w:tcPr>
            <w:tcW w:type="dxa" w:w="4372"/>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4372"/>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r>
        <w:tc>
          <w:tcPr>
            <w:tcW w:type="dxa" w:w="4372"/>
            <w:tcMar>
              <w:top w:w="60" w:type="dxa"/>
              <w:bottom w:w="60" w:type="dxa"/>
              <w:start w:w="110" w:type="dxa"/>
              <w:end w:w="110" w:type="dxa"/>
            </w:tcMar>
          </w:tcPr>
          <w:p>
            <w:r>
              <w:t xml:space="preserve"> </w:t>
            </w:r>
          </w:p>
        </w:tc>
        <w:tc>
          <w:tcPr>
            <w:tcW w:type="dxa" w:w="2471"/>
            <w:tcMar>
              <w:top w:w="60" w:type="dxa"/>
              <w:bottom w:w="60" w:type="dxa"/>
              <w:start w:w="110" w:type="dxa"/>
              <w:end w:w="110" w:type="dxa"/>
            </w:tcMar>
          </w:tcPr>
          <w:p>
            <w:r>
              <w:t xml:space="preserve"> </w:t>
            </w:r>
          </w:p>
        </w:tc>
        <w:tc>
          <w:tcPr>
            <w:tcW w:type="dxa" w:w="2661"/>
            <w:tcMar>
              <w:top w:w="60" w:type="dxa"/>
              <w:bottom w:w="60" w:type="dxa"/>
              <w:start w:w="110" w:type="dxa"/>
              <w:end w:w="110" w:type="dxa"/>
            </w:tcMar>
          </w:tcPr>
          <w:p>
            <w:r>
              <w:t xml:space="preserve"> </w:t>
            </w:r>
          </w:p>
        </w:tc>
      </w:tr>
      <w:tr>
        <w:tc>
          <w:tcPr>
            <w:tcW w:type="dxa" w:w="4372"/>
            <w:tcMar>
              <w:top w:w="60" w:type="dxa"/>
              <w:bottom w:w="60" w:type="dxa"/>
              <w:start w:w="110" w:type="dxa"/>
              <w:end w:w="110" w:type="dxa"/>
            </w:tcMar>
            <w:shd w:val="clear" w:color="auto" w:fill="F2F6F8"/>
          </w:tcPr>
          <w:p>
            <w:r>
              <w:t xml:space="preserve"> </w:t>
            </w:r>
          </w:p>
        </w:tc>
        <w:tc>
          <w:tcPr>
            <w:tcW w:type="dxa" w:w="2471"/>
            <w:tcMar>
              <w:top w:w="60" w:type="dxa"/>
              <w:bottom w:w="60" w:type="dxa"/>
              <w:start w:w="110" w:type="dxa"/>
              <w:end w:w="110" w:type="dxa"/>
            </w:tcMar>
            <w:shd w:val="clear" w:color="auto" w:fill="F2F6F8"/>
          </w:tcPr>
          <w:p>
            <w:r>
              <w:t xml:space="preserve"> </w:t>
            </w:r>
          </w:p>
        </w:tc>
        <w:tc>
          <w:tcPr>
            <w:tcW w:type="dxa" w:w="2661"/>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Sub-total (Rs.)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Taxes (GST, if applicable) (Rs.)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Total (Rs.)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Mode of payment (UPI / card / bank)</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Transaction reference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This receipt is issued per the Equator Schedule of Fees. Registration and case-management fees are billed separately as applicable.</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Authorised signatory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Statement of Claim (Family)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F-24</w:t>
            </w:r>
          </w:p>
        </w:tc>
      </w:tr>
    </w:tbl>
    <w:p>
      <w:pPr>
        <w:spacing w:after="80"/>
      </w:pPr>
      <w:r>
        <w:rPr>
          <w:rFonts w:ascii="Calibri" w:hAnsi="Calibri"/>
          <w:b w:val="0"/>
          <w:i/>
          <w:color w:val="556168"/>
          <w:sz w:val="18"/>
        </w:rPr>
        <w:t>The applicant's structured case. The AI assistant can draft this from your plain-language account; review and, ideally, have counsel settle it.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Marriage regime / governing law</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Applicant (Claimant)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PARTIES &amp; MARRIAGE</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&amp; place of marriage</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 of separation (if any)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Children (names, ages)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STATEMENT OF FACTS (numbered, chronological)</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No.</w:t>
            </w:r>
          </w:p>
        </w:tc>
        <w:tc>
          <w:tcPr>
            <w:tcW w:type="dxa" w:w="8554"/>
            <w:shd w:val="clear" w:color="auto" w:fill="123B4F"/>
            <w:tcMar>
              <w:top w:w="60" w:type="dxa"/>
              <w:bottom w:w="60" w:type="dxa"/>
              <w:start w:w="110" w:type="dxa"/>
              <w:end w:w="110" w:type="dxa"/>
            </w:tcMar>
          </w:tcPr>
          <w:p>
            <w:pPr>
              <w:spacing w:after="0"/>
            </w:pPr>
            <w:r>
              <w:rPr>
                <w:rFonts w:ascii="Calibri" w:hAnsi="Calibri"/>
                <w:b/>
                <w:i w:val="0"/>
                <w:color w:val="FFFFFF"/>
                <w:sz w:val="17"/>
              </w:rPr>
              <w:t>Fact</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ISSUES FOR RESOLUTION</w:t>
            </w:r>
          </w:p>
        </w:tc>
      </w:tr>
    </w:tbl>
    <w:p>
      <w:pPr>
        <w:spacing w:after="20"/>
      </w:pPr>
    </w:p>
    <w:p>
      <w:pPr>
        <w:spacing w:after="20"/>
      </w:pPr>
      <w:r>
        <w:rPr>
          <w:rFonts w:ascii="Calibri" w:hAnsi="Calibri"/>
          <w:b/>
          <w:i w:val="0"/>
          <w:color w:val="123B4F"/>
          <w:sz w:val="18"/>
        </w:rPr>
        <w:t>Issues: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Divorce / dissolution</w:t>
            </w:r>
          </w:p>
        </w:tc>
        <w:tc>
          <w:tcPr>
            <w:tcW w:type="dxa" w:w="4752"/>
            <w:tcMar>
              <w:top w:w="16" w:type="dxa"/>
              <w:bottom w:w="16" w:type="dxa"/>
              <w:start w:w="30" w:type="dxa"/>
              <w:end w:w="70" w:type="dxa"/>
            </w:tcMar>
          </w:tcPr>
          <w:p>
            <w:pPr>
              <w:spacing w:after="0"/>
            </w:pPr>
            <w:r>
              <w:rPr>
                <w:rFonts w:ascii="Calibri" w:hAnsi="Calibri"/>
                <w:b w:val="0"/>
                <w:i w:val="0"/>
                <w:color w:val="1B2A32"/>
                <w:sz w:val="18"/>
              </w:rPr>
              <w:t>☐  Maintenance &amp; alimony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Child custody &amp; parenting</w:t>
            </w:r>
          </w:p>
        </w:tc>
        <w:tc>
          <w:tcPr>
            <w:tcW w:type="dxa" w:w="4752"/>
            <w:tcMar>
              <w:top w:w="16" w:type="dxa"/>
              <w:bottom w:w="16" w:type="dxa"/>
              <w:start w:w="30" w:type="dxa"/>
              <w:end w:w="70" w:type="dxa"/>
            </w:tcMar>
          </w:tcPr>
          <w:p>
            <w:pPr>
              <w:spacing w:after="0"/>
            </w:pPr>
            <w:r>
              <w:rPr>
                <w:rFonts w:ascii="Calibri" w:hAnsi="Calibri"/>
                <w:b w:val="0"/>
                <w:i w:val="0"/>
                <w:color w:val="1B2A32"/>
                <w:sz w:val="18"/>
              </w:rPr>
              <w:t>☐  Property, streedhan &amp; mahr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Domestic violence</w:t>
            </w:r>
          </w:p>
        </w:tc>
        <w:tc>
          <w:tcPr>
            <w:tcW w:type="dxa" w:w="4752"/>
            <w:tcMar>
              <w:top w:w="16" w:type="dxa"/>
              <w:bottom w:w="16" w:type="dxa"/>
              <w:start w:w="30" w:type="dxa"/>
              <w:end w:w="70" w:type="dxa"/>
            </w:tcMar>
          </w:tcPr>
          <w:p>
            <w:pPr>
              <w:spacing w:after="0"/>
            </w:pPr>
            <w:r>
              <w:rPr>
                <w:rFonts w:ascii="Calibri" w:hAnsi="Calibri"/>
                <w:b w:val="0"/>
                <w:i w:val="0"/>
                <w:color w:val="1B2A32"/>
                <w:sz w:val="18"/>
              </w:rPr>
              <w:t>☐  Dowry / cruelty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Criminal-case closure</w:t>
            </w:r>
          </w:p>
        </w:tc>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RELIEF SOUGHT (PRAYER)</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Relief prayed for</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5.  SUPPORTING DOCUMENTS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6653"/>
            <w:shd w:val="clear" w:color="auto" w:fill="123B4F"/>
            <w:tcMar>
              <w:top w:w="60" w:type="dxa"/>
              <w:bottom w:w="60" w:type="dxa"/>
              <w:start w:w="110" w:type="dxa"/>
              <w:end w:w="110" w:type="dxa"/>
            </w:tcMar>
          </w:tcPr>
          <w:p>
            <w:pPr>
              <w:spacing w:after="0"/>
            </w:pPr>
            <w:r>
              <w:rPr>
                <w:rFonts w:ascii="Calibri" w:hAnsi="Calibri"/>
                <w:b/>
                <w:i w:val="0"/>
                <w:color w:val="FFFFFF"/>
                <w:sz w:val="17"/>
              </w:rPr>
              <w:t>Document</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Annexure no.</w:t>
            </w:r>
          </w:p>
        </w:tc>
      </w:tr>
      <w:tr>
        <w:tc>
          <w:tcPr>
            <w:tcW w:type="dxa" w:w="6653"/>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r>
      <w:tr>
        <w:tc>
          <w:tcPr>
            <w:tcW w:type="dxa" w:w="6653"/>
            <w:tcMar>
              <w:top w:w="60" w:type="dxa"/>
              <w:bottom w:w="60" w:type="dxa"/>
              <w:start w:w="110" w:type="dxa"/>
              <w:end w:w="110" w:type="dxa"/>
            </w:tcMar>
            <w:shd w:val="clear" w:color="auto" w:fill="F2F6F8"/>
          </w:tcPr>
          <w:p>
            <w:r>
              <w:t xml:space="preserve"> </w:t>
            </w:r>
          </w:p>
        </w:tc>
        <w:tc>
          <w:tcPr>
            <w:tcW w:type="dxa" w:w="2851"/>
            <w:tcMar>
              <w:top w:w="60" w:type="dxa"/>
              <w:bottom w:w="60" w:type="dxa"/>
              <w:start w:w="110" w:type="dxa"/>
              <w:end w:w="110" w:type="dxa"/>
            </w:tcMar>
            <w:shd w:val="clear" w:color="auto" w:fill="F2F6F8"/>
          </w:tcPr>
          <w:p>
            <w:r>
              <w:t xml:space="preserve"> </w:t>
            </w:r>
          </w:p>
        </w:tc>
      </w:tr>
      <w:tr>
        <w:tc>
          <w:tcPr>
            <w:tcW w:type="dxa" w:w="6653"/>
            <w:tcMar>
              <w:top w:w="60" w:type="dxa"/>
              <w:bottom w:w="60" w:type="dxa"/>
              <w:start w:w="110" w:type="dxa"/>
              <w:end w:w="110" w:type="dxa"/>
            </w:tcMar>
          </w:tcPr>
          <w:p>
            <w:r>
              <w:t xml:space="preserve"> </w:t>
            </w:r>
          </w:p>
        </w:tc>
        <w:tc>
          <w:tcPr>
            <w:tcW w:type="dxa" w:w="2851"/>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1E7A8C"/>
          <w:left w:val="single" w:sz="4" w:space="0" w:color="1E7A8C"/>
          <w:bottom w:val="single" w:sz="4" w:space="0" w:color="1E7A8C"/>
          <w:right w:val="single" w:sz="4" w:space="0" w:color="1E7A8C"/>
          <w:insideH w:val="single" w:sz="4" w:space="0" w:color="1E7A8C"/>
          <w:insideV w:val="single" w:sz="4" w:space="0" w:color="1E7A8C"/>
        </w:tblBorders>
      </w:tblPr>
      <w:tblGrid>
        <w:gridCol w:w="9504"/>
      </w:tblGrid>
      <w:tr>
        <w:tc>
          <w:tcPr>
            <w:tcW w:type="dxa" w:w="9504"/>
            <w:shd w:val="clear" w:color="auto" w:fill="DCEAEF"/>
            <w:tcMar>
              <w:top w:w="60" w:type="dxa"/>
              <w:bottom w:w="60" w:type="dxa"/>
              <w:start w:w="120" w:type="dxa"/>
              <w:end w:w="120" w:type="dxa"/>
            </w:tcMar>
          </w:tcPr>
          <w:p>
            <w:pPr>
              <w:spacing w:after="0"/>
            </w:pPr>
            <w:r>
              <w:rPr>
                <w:rFonts w:ascii="Calibri" w:hAnsi="Calibri"/>
                <w:b w:val="0"/>
                <w:i/>
                <w:color w:val="1B2A32"/>
                <w:sz w:val="17"/>
              </w:rPr>
              <w:t>Specimen fact: '1. The parties were married on 12.04.2015 at Pune under the Hindu Marriage Act, 1955 and have one child aged 7. 2. The parties have lived separately since January 2024...'</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This draft may be prepared with AI assistance from your own account of events. It is a </w:t>
            </w:r>
            <w:r>
              <w:rPr>
                <w:rFonts w:ascii="Calibri" w:hAnsi="Calibri"/>
                <w:b/>
                <w:i w:val="0"/>
                <w:color w:val="1B2A32"/>
                <w:sz w:val="17"/>
              </w:rPr>
              <w:t>draft for your review</w:t>
            </w:r>
            <w:r>
              <w:rPr>
                <w:rFonts w:ascii="Calibri" w:hAnsi="Calibri"/>
                <w:b w:val="0"/>
                <w:i w:val="0"/>
                <w:color w:val="1B2A32"/>
                <w:sz w:val="17"/>
              </w:rPr>
              <w:t>, not legal advice; have an advocate settle it before filing. It will be e-signed and, on settlement, superseded by the MSA.</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facts stated are true to the best of my knowledge and belief.</w:t>
      </w:r>
    </w:p>
    <w:p>
      <w:pPr>
        <w:spacing w:after="40"/>
        <w:jc w:val="both"/>
      </w:pPr>
      <w:r>
        <w:rPr>
          <w:rFonts w:ascii="Calibri" w:hAnsi="Calibri"/>
          <w:b w:val="0"/>
          <w:i w:val="0"/>
          <w:color w:val="1B2A32"/>
          <w:sz w:val="18"/>
        </w:rPr>
        <w:t xml:space="preserve">☐  </w:t>
      </w:r>
      <w:r>
        <w:rPr>
          <w:rFonts w:ascii="Calibri" w:hAnsi="Calibri"/>
          <w:b w:val="0"/>
          <w:i w:val="0"/>
          <w:color w:val="1B2A32"/>
          <w:sz w:val="18"/>
        </w:rPr>
        <w:t>I understand this statement is filed to define the issues for mediation and may be used in connected court proceedings.</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Claimant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Counsel (if any)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Statement of Defence (Family)</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F-25</w:t>
            </w:r>
          </w:p>
        </w:tc>
      </w:tr>
    </w:tbl>
    <w:p>
      <w:pPr>
        <w:spacing w:after="80"/>
      </w:pPr>
      <w:r>
        <w:rPr>
          <w:rFonts w:ascii="Calibri" w:hAnsi="Calibri"/>
          <w:b w:val="0"/>
          <w:i/>
          <w:color w:val="556168"/>
          <w:sz w:val="18"/>
        </w:rPr>
        <w:t>The respondent's structured reply. The AI assistant can help build a paragraph-by-paragraph response; review and have counsel settle it.</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Respondent</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Responding to Statement of Claim dated</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RESPONSE TO THE FACTS (para-by-para: admit / deny / explain)</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Claim para no.</w:t>
            </w:r>
          </w:p>
        </w:tc>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Admitted / Denied</w:t>
            </w:r>
          </w:p>
        </w:tc>
        <w:tc>
          <w:tcPr>
            <w:tcW w:type="dxa" w:w="6083"/>
            <w:shd w:val="clear" w:color="auto" w:fill="123B4F"/>
            <w:tcMar>
              <w:top w:w="60" w:type="dxa"/>
              <w:bottom w:w="60" w:type="dxa"/>
              <w:start w:w="110" w:type="dxa"/>
              <w:end w:w="110" w:type="dxa"/>
            </w:tcMar>
          </w:tcPr>
          <w:p>
            <w:pPr>
              <w:spacing w:after="0"/>
            </w:pPr>
            <w:r>
              <w:rPr>
                <w:rFonts w:ascii="Calibri" w:hAnsi="Calibri"/>
                <w:b/>
                <w:i w:val="0"/>
                <w:color w:val="FFFFFF"/>
                <w:sz w:val="17"/>
              </w:rPr>
              <w:t>Response</w:t>
            </w:r>
          </w:p>
        </w:tc>
      </w:tr>
      <w:tr>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r>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r>
        <w:tc>
          <w:tcPr>
            <w:tcW w:type="dxa" w:w="1521"/>
            <w:tcMar>
              <w:top w:w="60" w:type="dxa"/>
              <w:bottom w:w="60" w:type="dxa"/>
              <w:start w:w="110" w:type="dxa"/>
              <w:end w:w="110" w:type="dxa"/>
            </w:tcMar>
          </w:tcPr>
          <w:p>
            <w:r>
              <w:t xml:space="preserve"> </w:t>
            </w:r>
          </w:p>
        </w:tc>
        <w:tc>
          <w:tcPr>
            <w:tcW w:type="dxa" w:w="190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1521"/>
            <w:tcMar>
              <w:top w:w="60" w:type="dxa"/>
              <w:bottom w:w="60" w:type="dxa"/>
              <w:start w:w="110" w:type="dxa"/>
              <w:end w:w="110" w:type="dxa"/>
            </w:tcMar>
            <w:shd w:val="clear" w:color="auto" w:fill="F2F6F8"/>
          </w:tcPr>
          <w:p>
            <w:r>
              <w:t xml:space="preserve"> </w:t>
            </w:r>
          </w:p>
        </w:tc>
        <w:tc>
          <w:tcPr>
            <w:tcW w:type="dxa" w:w="190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RESPONDENT'S OWN CASE / ADDITIONAL FACTS</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950"/>
            <w:shd w:val="clear" w:color="auto" w:fill="123B4F"/>
            <w:tcMar>
              <w:top w:w="60" w:type="dxa"/>
              <w:bottom w:w="60" w:type="dxa"/>
              <w:start w:w="110" w:type="dxa"/>
              <w:end w:w="110" w:type="dxa"/>
            </w:tcMar>
          </w:tcPr>
          <w:p>
            <w:pPr>
              <w:spacing w:after="0"/>
            </w:pPr>
            <w:r>
              <w:rPr>
                <w:rFonts w:ascii="Calibri" w:hAnsi="Calibri"/>
                <w:b/>
                <w:i w:val="0"/>
                <w:color w:val="FFFFFF"/>
                <w:sz w:val="17"/>
              </w:rPr>
              <w:t>No.</w:t>
            </w:r>
          </w:p>
        </w:tc>
        <w:tc>
          <w:tcPr>
            <w:tcW w:type="dxa" w:w="8554"/>
            <w:shd w:val="clear" w:color="auto" w:fill="123B4F"/>
            <w:tcMar>
              <w:top w:w="60" w:type="dxa"/>
              <w:bottom w:w="60" w:type="dxa"/>
              <w:start w:w="110" w:type="dxa"/>
              <w:end w:w="110" w:type="dxa"/>
            </w:tcMar>
          </w:tcPr>
          <w:p>
            <w:pPr>
              <w:spacing w:after="0"/>
            </w:pPr>
            <w:r>
              <w:rPr>
                <w:rFonts w:ascii="Calibri" w:hAnsi="Calibri"/>
                <w:b/>
                <w:i w:val="0"/>
                <w:color w:val="FFFFFF"/>
                <w:sz w:val="17"/>
              </w:rPr>
              <w:t>Fact</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r>
        <w:tc>
          <w:tcPr>
            <w:tcW w:type="dxa" w:w="950"/>
            <w:tcMar>
              <w:top w:w="60" w:type="dxa"/>
              <w:bottom w:w="60" w:type="dxa"/>
              <w:start w:w="110" w:type="dxa"/>
              <w:end w:w="110" w:type="dxa"/>
            </w:tcMar>
          </w:tcPr>
          <w:p>
            <w:r>
              <w:t xml:space="preserve"> </w:t>
            </w:r>
          </w:p>
        </w:tc>
        <w:tc>
          <w:tcPr>
            <w:tcW w:type="dxa" w:w="8554"/>
            <w:tcMar>
              <w:top w:w="60" w:type="dxa"/>
              <w:bottom w:w="60" w:type="dxa"/>
              <w:start w:w="110" w:type="dxa"/>
              <w:end w:w="110" w:type="dxa"/>
            </w:tcMar>
          </w:tcPr>
          <w:p>
            <w:r>
              <w:t xml:space="preserve"> </w:t>
            </w:r>
          </w:p>
        </w:tc>
      </w:tr>
      <w:tr>
        <w:tc>
          <w:tcPr>
            <w:tcW w:type="dxa" w:w="950"/>
            <w:tcMar>
              <w:top w:w="60" w:type="dxa"/>
              <w:bottom w:w="60" w:type="dxa"/>
              <w:start w:w="110" w:type="dxa"/>
              <w:end w:w="110" w:type="dxa"/>
            </w:tcMar>
            <w:shd w:val="clear" w:color="auto" w:fill="F2F6F8"/>
          </w:tcPr>
          <w:p>
            <w:r>
              <w:t xml:space="preserve"> </w:t>
            </w:r>
          </w:p>
        </w:tc>
        <w:tc>
          <w:tcPr>
            <w:tcW w:type="dxa" w:w="8554"/>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COUNTER-ISSUES &amp; RELIEF SOUGHT</w:t>
            </w:r>
          </w:p>
        </w:tc>
      </w:tr>
    </w:tbl>
    <w:p>
      <w:pPr>
        <w:spacing w:after="20"/>
      </w:pPr>
    </w:p>
    <w:p>
      <w:pPr>
        <w:spacing w:after="20"/>
      </w:pPr>
      <w:r>
        <w:rPr>
          <w:rFonts w:ascii="Calibri" w:hAnsi="Calibri"/>
          <w:b/>
          <w:i w:val="0"/>
          <w:color w:val="123B4F"/>
          <w:sz w:val="18"/>
        </w:rPr>
        <w:t>Counter-issues: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Divorce / dissolution</w:t>
            </w:r>
          </w:p>
        </w:tc>
        <w:tc>
          <w:tcPr>
            <w:tcW w:type="dxa" w:w="4752"/>
            <w:tcMar>
              <w:top w:w="16" w:type="dxa"/>
              <w:bottom w:w="16" w:type="dxa"/>
              <w:start w:w="30" w:type="dxa"/>
              <w:end w:w="70" w:type="dxa"/>
            </w:tcMar>
          </w:tcPr>
          <w:p>
            <w:pPr>
              <w:spacing w:after="0"/>
            </w:pPr>
            <w:r>
              <w:rPr>
                <w:rFonts w:ascii="Calibri" w:hAnsi="Calibri"/>
                <w:b w:val="0"/>
                <w:i w:val="0"/>
                <w:color w:val="1B2A32"/>
                <w:sz w:val="18"/>
              </w:rPr>
              <w:t>☐  Maintenance &amp; alimony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Child custody &amp; parenting</w:t>
            </w:r>
          </w:p>
        </w:tc>
        <w:tc>
          <w:tcPr>
            <w:tcW w:type="dxa" w:w="4752"/>
            <w:tcMar>
              <w:top w:w="16" w:type="dxa"/>
              <w:bottom w:w="16" w:type="dxa"/>
              <w:start w:w="30" w:type="dxa"/>
              <w:end w:w="70" w:type="dxa"/>
            </w:tcMar>
          </w:tcPr>
          <w:p>
            <w:pPr>
              <w:spacing w:after="0"/>
            </w:pPr>
            <w:r>
              <w:rPr>
                <w:rFonts w:ascii="Calibri" w:hAnsi="Calibri"/>
                <w:b w:val="0"/>
                <w:i w:val="0"/>
                <w:color w:val="1B2A32"/>
                <w:sz w:val="18"/>
              </w:rPr>
              <w:t>☐  Property, streedhan &amp; mahr</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Return of streedhan</w:t>
            </w:r>
          </w:p>
        </w:tc>
        <w:tc>
          <w:tcPr>
            <w:tcW w:type="dxa" w:w="4752"/>
            <w:tcMar>
              <w:top w:w="16" w:type="dxa"/>
              <w:bottom w:w="16" w:type="dxa"/>
              <w:start w:w="30" w:type="dxa"/>
              <w:end w:w="70" w:type="dxa"/>
            </w:tcMar>
          </w:tcPr>
          <w:p>
            <w:pPr>
              <w:spacing w:after="0"/>
            </w:pPr>
            <w:r>
              <w:rPr>
                <w:rFonts w:ascii="Calibri" w:hAnsi="Calibri"/>
                <w:b w:val="0"/>
                <w:i w:val="0"/>
                <w:color w:val="1B2A32"/>
                <w:sz w:val="18"/>
              </w:rPr>
              <w:t>☐  Criminal-case closure</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Other</w:t>
            </w:r>
          </w:p>
        </w:tc>
        <w:tc>
          <w:tcPr>
            <w:tcW w:type="dxa" w:w="4752"/>
            <w:tcMar>
              <w:top w:w="16" w:type="dxa"/>
              <w:bottom w:w="16" w:type="dxa"/>
              <w:start w:w="30" w:type="dxa"/>
              <w:end w:w="7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9504"/>
      </w:tblGrid>
      <w:tr>
        <w:tc>
          <w:tcPr>
            <w:tcW w:type="dxa" w:w="9504"/>
            <w:shd w:val="clear" w:color="auto" w:fill="123B4F"/>
            <w:tcMar>
              <w:top w:w="60" w:type="dxa"/>
              <w:bottom w:w="60" w:type="dxa"/>
              <w:start w:w="110" w:type="dxa"/>
              <w:end w:w="110" w:type="dxa"/>
            </w:tcMar>
          </w:tcPr>
          <w:p>
            <w:pPr>
              <w:spacing w:after="0"/>
            </w:pPr>
            <w:r>
              <w:rPr>
                <w:rFonts w:ascii="Calibri" w:hAnsi="Calibri"/>
                <w:b/>
                <w:i w:val="0"/>
                <w:color w:val="FFFFFF"/>
                <w:sz w:val="17"/>
              </w:rPr>
              <w:t>Relief you seek</w:t>
            </w:r>
          </w:p>
        </w:tc>
      </w:tr>
      <w:tr>
        <w:tc>
          <w:tcPr>
            <w:tcW w:type="dxa" w:w="9504"/>
            <w:tcMar>
              <w:top w:w="60" w:type="dxa"/>
              <w:bottom w:w="60" w:type="dxa"/>
              <w:start w:w="110" w:type="dxa"/>
              <w:end w:w="110" w:type="dxa"/>
            </w:tcMar>
          </w:tcPr>
          <w:p>
            <w:r>
              <w:t xml:space="preserve"> </w:t>
            </w:r>
          </w:p>
        </w:tc>
      </w:tr>
      <w:tr>
        <w:tc>
          <w:tcPr>
            <w:tcW w:type="dxa" w:w="9504"/>
            <w:tcMar>
              <w:top w:w="60" w:type="dxa"/>
              <w:bottom w:w="60" w:type="dxa"/>
              <w:start w:w="110" w:type="dxa"/>
              <w:end w:w="110" w:type="dxa"/>
            </w:tcMar>
            <w:shd w:val="clear" w:color="auto" w:fill="F2F6F8"/>
          </w:tcPr>
          <w:p>
            <w:r>
              <w:t xml:space="preserve"> </w:t>
            </w:r>
          </w:p>
        </w:tc>
      </w:tr>
      <w:tr>
        <w:tc>
          <w:tcPr>
            <w:tcW w:type="dxa" w:w="9504"/>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 xml:space="preserve">May be prepared with AI assistance; a </w:t>
            </w:r>
            <w:r>
              <w:rPr>
                <w:rFonts w:ascii="Calibri" w:hAnsi="Calibri"/>
                <w:b/>
                <w:i w:val="0"/>
                <w:color w:val="1B2A32"/>
                <w:sz w:val="17"/>
              </w:rPr>
              <w:t>draft for your review</w:t>
            </w:r>
            <w:r>
              <w:rPr>
                <w:rFonts w:ascii="Calibri" w:hAnsi="Calibri"/>
                <w:b w:val="0"/>
                <w:i w:val="0"/>
                <w:color w:val="1B2A32"/>
                <w:sz w:val="17"/>
              </w:rPr>
              <w:t>, not legal advice. Have an advocate settle it before filing.</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 &amp; UNDERTAKING</w:t>
            </w:r>
          </w:p>
        </w:tc>
      </w:tr>
    </w:tbl>
    <w:p>
      <w:pPr>
        <w:spacing w:after="20"/>
      </w:pPr>
    </w:p>
    <w:p>
      <w:pPr>
        <w:spacing w:after="40"/>
        <w:jc w:val="both"/>
      </w:pPr>
      <w:r>
        <w:rPr>
          <w:rFonts w:ascii="Calibri" w:hAnsi="Calibri"/>
          <w:b w:val="0"/>
          <w:i w:val="0"/>
          <w:color w:val="1B2A32"/>
          <w:sz w:val="18"/>
        </w:rPr>
        <w:t xml:space="preserve">☐  </w:t>
      </w:r>
      <w:r>
        <w:rPr>
          <w:rFonts w:ascii="Calibri" w:hAnsi="Calibri"/>
          <w:b w:val="0"/>
          <w:i w:val="0"/>
          <w:color w:val="1B2A32"/>
          <w:sz w:val="18"/>
        </w:rPr>
        <w:t>The contents are true to the best of my knowledge and belief.</w:t>
      </w:r>
    </w:p>
    <w:p>
      <w:pPr>
        <w:spacing w:after="2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Respondent</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Counsel (if any)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Intake Screening &amp; Suitability Assessment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F-26</w:t>
            </w:r>
          </w:p>
        </w:tc>
      </w:tr>
    </w:tbl>
    <w:p>
      <w:pPr>
        <w:spacing w:after="80"/>
      </w:pPr>
      <w:r>
        <w:rPr>
          <w:rFonts w:ascii="Calibri" w:hAnsi="Calibri"/>
          <w:b w:val="0"/>
          <w:i/>
          <w:color w:val="556168"/>
          <w:sz w:val="18"/>
        </w:rPr>
        <w:t>Completed with each party separately at the Mediation Information &amp; Suitability Session (MISS). Informed by the AFCC standards and MASIC screening.</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 assessed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Assessed separately?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Assessor (mediator / case manager)</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  INFORMATION PROVIDED (MISS)</w:t>
            </w:r>
          </w:p>
        </w:tc>
      </w:tr>
    </w:tbl>
    <w:p>
      <w:pPr>
        <w:spacing w:after="20"/>
      </w:pPr>
    </w:p>
    <w:p>
      <w:pPr>
        <w:spacing w:after="20"/>
      </w:pPr>
      <w:r>
        <w:rPr>
          <w:rFonts w:ascii="Calibri" w:hAnsi="Calibri"/>
          <w:b/>
          <w:i w:val="0"/>
          <w:color w:val="123B4F"/>
          <w:sz w:val="18"/>
        </w:rPr>
        <w:t>Confirmed the party was informed about: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What mediation is and its voluntary, confidential nature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process, timeline (120+60 days) and fees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Alternatives, including court, and the option of legal advice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B.  SUITABILITY FACTORS</w:t>
            </w:r>
          </w:p>
        </w:tc>
      </w:tr>
    </w:tbl>
    <w:p>
      <w:pPr>
        <w:spacing w:after="20"/>
      </w:pPr>
    </w:p>
    <w:p>
      <w:pPr>
        <w:spacing w:after="20"/>
      </w:pPr>
      <w:r>
        <w:rPr>
          <w:rFonts w:ascii="Calibri" w:hAnsi="Calibri"/>
          <w:b/>
          <w:i w:val="0"/>
          <w:color w:val="123B4F"/>
          <w:sz w:val="18"/>
        </w:rPr>
        <w:t>Any of the following present?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6" w:type="dxa"/>
              <w:bottom w:w="16" w:type="dxa"/>
              <w:start w:w="30" w:type="dxa"/>
              <w:end w:w="70" w:type="dxa"/>
            </w:tcMar>
          </w:tcPr>
          <w:p>
            <w:pPr>
              <w:spacing w:after="0"/>
            </w:pPr>
            <w:r>
              <w:rPr>
                <w:rFonts w:ascii="Calibri" w:hAnsi="Calibri"/>
                <w:b w:val="0"/>
                <w:i w:val="0"/>
                <w:color w:val="1B2A32"/>
                <w:sz w:val="18"/>
              </w:rPr>
              <w:t>☐  Willingness of both to participate</w:t>
            </w:r>
          </w:p>
        </w:tc>
        <w:tc>
          <w:tcPr>
            <w:tcW w:type="dxa" w:w="4752"/>
            <w:tcMar>
              <w:top w:w="16" w:type="dxa"/>
              <w:bottom w:w="16" w:type="dxa"/>
              <w:start w:w="30" w:type="dxa"/>
              <w:end w:w="70" w:type="dxa"/>
            </w:tcMar>
          </w:tcPr>
          <w:p>
            <w:pPr>
              <w:spacing w:after="0"/>
            </w:pPr>
            <w:r>
              <w:rPr>
                <w:rFonts w:ascii="Calibri" w:hAnsi="Calibri"/>
                <w:b w:val="0"/>
                <w:i w:val="0"/>
                <w:color w:val="1B2A32"/>
                <w:sz w:val="18"/>
              </w:rPr>
              <w:t>☐  Ability to negotiate freely</w:t>
            </w:r>
          </w:p>
        </w:tc>
      </w:tr>
      <w:tr>
        <w:tc>
          <w:tcPr>
            <w:tcW w:type="dxa" w:w="4752"/>
            <w:tcMar>
              <w:top w:w="16" w:type="dxa"/>
              <w:bottom w:w="16" w:type="dxa"/>
              <w:start w:w="30" w:type="dxa"/>
              <w:end w:w="70" w:type="dxa"/>
            </w:tcMar>
          </w:tcPr>
          <w:p>
            <w:pPr>
              <w:spacing w:after="0"/>
            </w:pPr>
            <w:r>
              <w:rPr>
                <w:rFonts w:ascii="Calibri" w:hAnsi="Calibri"/>
                <w:b w:val="0"/>
                <w:i w:val="0"/>
                <w:color w:val="1B2A32"/>
                <w:sz w:val="18"/>
              </w:rPr>
              <w:t>☐  Matter fit for mediation (not excluded by s.6)</w:t>
            </w:r>
          </w:p>
        </w:tc>
        <w:tc>
          <w:tcPr>
            <w:tcW w:type="dxa" w:w="4752"/>
            <w:tcMar>
              <w:top w:w="16" w:type="dxa"/>
              <w:bottom w:w="16" w:type="dxa"/>
              <w:start w:w="30" w:type="dxa"/>
              <w:end w:w="70" w:type="dxa"/>
            </w:tcMar>
          </w:tcPr>
          <w:p>
            <w:pPr>
              <w:spacing w:after="0"/>
            </w:pPr>
            <w:r>
              <w:rPr>
                <w:rFonts w:ascii="Calibri" w:hAnsi="Calibri"/>
                <w:b w:val="0"/>
                <w:i w:val="0"/>
                <w:color w:val="1B2A32"/>
                <w:sz w:val="18"/>
              </w:rPr>
              <w:t>☐  Capacity to understand &amp; decide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  SAFETY &amp; COERCION SCREEN (structured; ask each party privately)</w:t>
            </w:r>
          </w:p>
        </w:tc>
      </w:tr>
    </w:tbl>
    <w:p>
      <w:pPr>
        <w:spacing w:after="20"/>
      </w:pPr>
    </w:p>
    <w:p>
      <w:pPr>
        <w:spacing w:after="20"/>
      </w:pPr>
      <w:r>
        <w:rPr>
          <w:rFonts w:ascii="Calibri" w:hAnsi="Calibri"/>
          <w:b/>
          <w:i w:val="0"/>
          <w:color w:val="123B4F"/>
          <w:sz w:val="18"/>
        </w:rPr>
        <w:t>Any indicator present? (any 'yes' triggers the safety protocol)</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History or fear of physical violence / threats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Coercive control or intimidation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Reluctance to be in the same room</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Concern about children's safety / abduction risk</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Active FIR or protection order between the parties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Substance abuse / weapon access disclosed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  CAPACITY</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Any capacity / language / power-imbalance concern?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Accommodations arranged (interpreter, support person)</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E.  OUTCOME</w:t>
            </w:r>
          </w:p>
        </w:tc>
      </w:tr>
    </w:tbl>
    <w:p>
      <w:pPr>
        <w:spacing w:after="20"/>
      </w:pPr>
    </w:p>
    <w:p>
      <w:pPr>
        <w:spacing w:after="20"/>
      </w:pPr>
      <w:r>
        <w:rPr>
          <w:rFonts w:ascii="Calibri" w:hAnsi="Calibri"/>
          <w:b/>
          <w:i w:val="0"/>
          <w:color w:val="123B4F"/>
          <w:sz w:val="18"/>
        </w:rPr>
        <w:t>Assessment outcome: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Suitable for mediation</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Suitable WITH safeguards (separate/shuttle sessions, etc.)</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suitable — refer to court / other support</w:t>
            </w:r>
          </w:p>
        </w:tc>
      </w:tr>
    </w:tbl>
    <w:p>
      <w:pPr>
        <w:spacing w:after="4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Safeguards / referral notes</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single" w:sz="4" w:space="0" w:color="C6A15B"/>
          <w:left w:val="single" w:sz="4" w:space="0" w:color="C6A15B"/>
          <w:bottom w:val="single" w:sz="4" w:space="0" w:color="C6A15B"/>
          <w:right w:val="single" w:sz="4" w:space="0" w:color="C6A15B"/>
          <w:insideH w:val="single" w:sz="4" w:space="0" w:color="C6A15B"/>
          <w:insideV w:val="single" w:sz="4" w:space="0" w:color="C6A15B"/>
        </w:tblBorders>
      </w:tblPr>
      <w:tblGrid>
        <w:gridCol w:w="9504"/>
      </w:tblGrid>
      <w:tr>
        <w:tc>
          <w:tcPr>
            <w:tcW w:type="dxa" w:w="9504"/>
            <w:shd w:val="clear" w:color="auto" w:fill="F5ECD6"/>
            <w:tcMar>
              <w:top w:w="70" w:type="dxa"/>
              <w:bottom w:w="70" w:type="dxa"/>
              <w:start w:w="120" w:type="dxa"/>
              <w:end w:w="120" w:type="dxa"/>
            </w:tcMar>
          </w:tcPr>
          <w:p>
            <w:pPr>
              <w:spacing w:after="0"/>
            </w:pPr>
            <w:r>
              <w:rPr>
                <w:rFonts w:ascii="Calibri" w:hAnsi="Calibri"/>
                <w:b w:val="0"/>
                <w:i w:val="0"/>
                <w:color w:val="1B2A32"/>
                <w:sz w:val="17"/>
              </w:rPr>
              <w:t>Screening is ongoing, not one-time — reassess at every session. Domestic-violence disclosures are NOT protected by mediation confidentiality (Mediation Act s.22).</w:t>
            </w: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Assessor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Independent Legal Advice (ILA) Certificate</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F-27</w:t>
            </w:r>
          </w:p>
        </w:tc>
      </w:tr>
    </w:tbl>
    <w:p>
      <w:pPr>
        <w:spacing w:after="80"/>
      </w:pPr>
      <w:r>
        <w:rPr>
          <w:rFonts w:ascii="Calibri" w:hAnsi="Calibri"/>
          <w:b w:val="0"/>
          <w:i/>
          <w:color w:val="556168"/>
          <w:sz w:val="18"/>
        </w:rPr>
        <w:t>Records that a party had the opportunity for, or obtained, independent legal advice before signing the MSA; and acknowledges the cooling-off window.</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Party</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Advising advocate (name &amp; enrolment no., if obtained)</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DECLARATION</w:t>
            </w:r>
          </w:p>
        </w:tc>
      </w:tr>
    </w:tbl>
    <w:p>
      <w:pPr>
        <w:spacing w:after="20"/>
      </w:pPr>
    </w:p>
    <w:p>
      <w:pPr>
        <w:spacing w:after="20"/>
      </w:pPr>
      <w:r>
        <w:rPr>
          <w:rFonts w:ascii="Calibri" w:hAnsi="Calibri"/>
          <w:b/>
          <w:i w:val="0"/>
          <w:color w:val="123B4F"/>
          <w:sz w:val="18"/>
        </w:rPr>
        <w:t>Please confirm:</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I was advised of my right to obtain independent legal advice before signing the settlement</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 have obtained independent legal advice on the terms of the settlement, OR I have knowingly chosen not to</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 understand the terms and their effect, including that the registered MSA is enforceable as a decree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 am signing freely and without coercion, fraud or undue influence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I understand a cooling-off / reflection period applies before the settlement becomes final</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ADVOCATE'S CONFIRMATION (if advice obtained)</w:t>
            </w:r>
          </w:p>
        </w:tc>
      </w:tr>
    </w:tbl>
    <w:p>
      <w:pPr>
        <w:spacing w:after="20"/>
      </w:pPr>
    </w:p>
    <w:p>
      <w:pPr>
        <w:spacing w:after="80"/>
        <w:jc w:val="both"/>
      </w:pPr>
      <w:r>
        <w:rPr>
          <w:rFonts w:ascii="Calibri" w:hAnsi="Calibri"/>
          <w:b w:val="0"/>
          <w:i w:val="0"/>
          <w:color w:val="1B2A32"/>
          <w:sz w:val="19"/>
        </w:rPr>
        <w:t>I confirm that I have explained the nature and effect of the settlement terms to the above party, who appeared to understand them and to be acting of their own free will.</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Party</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Advising advocate (if any)</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Referral / Partial-Settlement Court Handoff Memo</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F-28</w:t>
            </w:r>
          </w:p>
        </w:tc>
      </w:tr>
    </w:tbl>
    <w:p>
      <w:pPr>
        <w:spacing w:after="80"/>
      </w:pPr>
      <w:r>
        <w:rPr>
          <w:rFonts w:ascii="Calibri" w:hAnsi="Calibri"/>
          <w:b w:val="0"/>
          <w:i/>
          <w:color w:val="556168"/>
          <w:sz w:val="18"/>
        </w:rPr>
        <w:t>Sent to the competent court on conclusion — records what settled, what remains, and the attempt made.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 (mediation)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Parties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Court &amp; matter no. (if referred in)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Date</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1.  OUTCOME</w:t>
            </w:r>
          </w:p>
        </w:tc>
      </w:tr>
    </w:tbl>
    <w:p>
      <w:pPr>
        <w:spacing w:after="20"/>
      </w:pPr>
    </w:p>
    <w:p>
      <w:pPr>
        <w:spacing w:after="20"/>
      </w:pPr>
      <w:r>
        <w:rPr>
          <w:rFonts w:ascii="Calibri" w:hAnsi="Calibri"/>
          <w:b/>
          <w:i w:val="0"/>
          <w:color w:val="123B4F"/>
          <w:sz w:val="18"/>
        </w:rPr>
        <w:t>Result: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Fully settled — registered MSA enclosed for a consent decree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Partially settled — agreed terms enclosed; remaining issues below</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Not settled — certificate of attempted mediation enclosed</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2.  ISSUES AGREED (for the court to record)</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3421"/>
            <w:shd w:val="clear" w:color="auto" w:fill="123B4F"/>
            <w:tcMar>
              <w:top w:w="60" w:type="dxa"/>
              <w:bottom w:w="60" w:type="dxa"/>
              <w:start w:w="110" w:type="dxa"/>
              <w:end w:w="110" w:type="dxa"/>
            </w:tcMar>
          </w:tcPr>
          <w:p>
            <w:pPr>
              <w:spacing w:after="0"/>
            </w:pPr>
            <w:r>
              <w:rPr>
                <w:rFonts w:ascii="Calibri" w:hAnsi="Calibri"/>
                <w:b/>
                <w:i w:val="0"/>
                <w:color w:val="FFFFFF"/>
                <w:sz w:val="17"/>
              </w:rPr>
              <w:t>Issue</w:t>
            </w:r>
          </w:p>
        </w:tc>
        <w:tc>
          <w:tcPr>
            <w:tcW w:type="dxa" w:w="6083"/>
            <w:shd w:val="clear" w:color="auto" w:fill="123B4F"/>
            <w:tcMar>
              <w:top w:w="60" w:type="dxa"/>
              <w:bottom w:w="60" w:type="dxa"/>
              <w:start w:w="110" w:type="dxa"/>
              <w:end w:w="110" w:type="dxa"/>
            </w:tcMar>
          </w:tcPr>
          <w:p>
            <w:pPr>
              <w:spacing w:after="0"/>
            </w:pPr>
            <w:r>
              <w:rPr>
                <w:rFonts w:ascii="Calibri" w:hAnsi="Calibri"/>
                <w:b/>
                <w:i w:val="0"/>
                <w:color w:val="FFFFFF"/>
                <w:sz w:val="17"/>
              </w:rPr>
              <w:t>Agreed term (summary)</w:t>
            </w:r>
          </w:p>
        </w:tc>
      </w:tr>
      <w:tr>
        <w:tc>
          <w:tcPr>
            <w:tcW w:type="dxa" w:w="342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342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r>
        <w:tc>
          <w:tcPr>
            <w:tcW w:type="dxa" w:w="342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342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3.  ISSUES REMAINING (for the court to decide)</w:t>
            </w:r>
          </w:p>
        </w:tc>
      </w:tr>
    </w:tbl>
    <w:p>
      <w:pPr>
        <w:spacing w:after="20"/>
      </w:pPr>
    </w:p>
    <w:tbl>
      <w:tblPr>
        <w:tblW w:type="auto" w:w="0"/>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c>
          <w:tcPr>
            <w:tcW w:type="dxa" w:w="3421"/>
            <w:shd w:val="clear" w:color="auto" w:fill="123B4F"/>
            <w:tcMar>
              <w:top w:w="60" w:type="dxa"/>
              <w:bottom w:w="60" w:type="dxa"/>
              <w:start w:w="110" w:type="dxa"/>
              <w:end w:w="110" w:type="dxa"/>
            </w:tcMar>
          </w:tcPr>
          <w:p>
            <w:pPr>
              <w:spacing w:after="0"/>
            </w:pPr>
            <w:r>
              <w:rPr>
                <w:rFonts w:ascii="Calibri" w:hAnsi="Calibri"/>
                <w:b/>
                <w:i w:val="0"/>
                <w:color w:val="FFFFFF"/>
                <w:sz w:val="17"/>
              </w:rPr>
              <w:t>Issue</w:t>
            </w:r>
          </w:p>
        </w:tc>
        <w:tc>
          <w:tcPr>
            <w:tcW w:type="dxa" w:w="6083"/>
            <w:shd w:val="clear" w:color="auto" w:fill="123B4F"/>
            <w:tcMar>
              <w:top w:w="60" w:type="dxa"/>
              <w:bottom w:w="60" w:type="dxa"/>
              <w:start w:w="110" w:type="dxa"/>
              <w:end w:w="110" w:type="dxa"/>
            </w:tcMar>
          </w:tcPr>
          <w:p>
            <w:pPr>
              <w:spacing w:after="0"/>
            </w:pPr>
            <w:r>
              <w:rPr>
                <w:rFonts w:ascii="Calibri" w:hAnsi="Calibri"/>
                <w:b/>
                <w:i w:val="0"/>
                <w:color w:val="FFFFFF"/>
                <w:sz w:val="17"/>
              </w:rPr>
              <w:t>Note</w:t>
            </w:r>
          </w:p>
        </w:tc>
      </w:tr>
      <w:tr>
        <w:tc>
          <w:tcPr>
            <w:tcW w:type="dxa" w:w="342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r>
        <w:tc>
          <w:tcPr>
            <w:tcW w:type="dxa" w:w="3421"/>
            <w:tcMar>
              <w:top w:w="60" w:type="dxa"/>
              <w:bottom w:w="60" w:type="dxa"/>
              <w:start w:w="110" w:type="dxa"/>
              <w:end w:w="110" w:type="dxa"/>
            </w:tcMar>
            <w:shd w:val="clear" w:color="auto" w:fill="F2F6F8"/>
          </w:tcPr>
          <w:p>
            <w:r>
              <w:t xml:space="preserve"> </w:t>
            </w:r>
          </w:p>
        </w:tc>
        <w:tc>
          <w:tcPr>
            <w:tcW w:type="dxa" w:w="6083"/>
            <w:tcMar>
              <w:top w:w="60" w:type="dxa"/>
              <w:bottom w:w="60" w:type="dxa"/>
              <w:start w:w="110" w:type="dxa"/>
              <w:end w:w="110" w:type="dxa"/>
            </w:tcMar>
            <w:shd w:val="clear" w:color="auto" w:fill="F2F6F8"/>
          </w:tcPr>
          <w:p>
            <w:r>
              <w:t xml:space="preserve"> </w:t>
            </w:r>
          </w:p>
        </w:tc>
      </w:tr>
      <w:tr>
        <w:tc>
          <w:tcPr>
            <w:tcW w:type="dxa" w:w="3421"/>
            <w:tcMar>
              <w:top w:w="60" w:type="dxa"/>
              <w:bottom w:w="60" w:type="dxa"/>
              <w:start w:w="110" w:type="dxa"/>
              <w:end w:w="110" w:type="dxa"/>
            </w:tcMar>
          </w:tcPr>
          <w:p>
            <w:r>
              <w:t xml:space="preserve"> </w:t>
            </w:r>
          </w:p>
        </w:tc>
        <w:tc>
          <w:tcPr>
            <w:tcW w:type="dxa" w:w="6083"/>
            <w:tcMar>
              <w:top w:w="60" w:type="dxa"/>
              <w:bottom w:w="60" w:type="dxa"/>
              <w:start w:w="110" w:type="dxa"/>
              <w:end w:w="110" w:type="dxa"/>
            </w:tcMar>
          </w:tcPr>
          <w:p>
            <w:r>
              <w:t xml:space="preserve"> </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4.  CERTIFICATE OF ATTEMPT</w:t>
            </w:r>
          </w:p>
        </w:tc>
      </w:tr>
    </w:tbl>
    <w:p>
      <w:pPr>
        <w:spacing w:after="20"/>
      </w:pPr>
    </w:p>
    <w:p>
      <w:pPr>
        <w:spacing w:after="80"/>
        <w:jc w:val="both"/>
      </w:pPr>
      <w:r>
        <w:rPr>
          <w:rFonts w:ascii="Calibri" w:hAnsi="Calibri"/>
          <w:b w:val="0"/>
          <w:i w:val="0"/>
          <w:color w:val="1B2A32"/>
          <w:sz w:val="19"/>
        </w:rPr>
        <w:t>This certifies that the parties made a genuine attempt at mediation through Equator Resolution under the Mediation Act, 2023 between [dates], across [n] session(s). No confidential mediation communication is disclosed in this memo.</w:t>
      </w: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Mediator</w:t>
            </w:r>
          </w:p>
          <w:p>
            <w:pPr>
              <w:spacing w:after="0"/>
            </w:pPr>
            <w:r>
              <w:rPr>
                <w:rFonts w:ascii="Calibri" w:hAnsi="Calibri"/>
                <w:b w:val="0"/>
                <w:i/>
                <w:color w:val="556168"/>
                <w:sz w:val="14"/>
              </w:rPr>
              <w:t>Name / Signature / Date</w:t>
            </w:r>
          </w:p>
        </w:tc>
        <w:tc>
          <w:tcPr>
            <w:tcW w:type="dxa" w:w="4752"/>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Case Manager (Equator)</w:t>
            </w:r>
          </w:p>
          <w:p>
            <w:pPr>
              <w:spacing w:after="0"/>
            </w:pPr>
            <w:r>
              <w:rPr>
                <w:rFonts w:ascii="Calibri" w:hAnsi="Calibri"/>
                <w:b w:val="0"/>
                <w:i/>
                <w:color w:val="556168"/>
                <w:sz w:val="14"/>
              </w:rPr>
              <w:t>Name / Signature / Date</w:t>
            </w:r>
          </w:p>
        </w:tc>
      </w:tr>
    </w:tbl>
    <w:p>
      <w:pPr>
        <w:spacing w:after="40"/>
      </w:pPr>
    </w:p>
    <w:p>
      <w:r>
        <w:br w:type="page"/>
      </w:r>
    </w:p>
    <w:p>
      <w:pPr>
        <w:spacing w:after="12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752"/>
        <w:gridCol w:w="4752"/>
      </w:tblGrid>
      <w:tr>
        <w:tc>
          <w:tcPr>
            <w:tcW w:type="dxa" w:w="7632"/>
            <w:shd w:val="clear" w:color="auto" w:fill="123B4F"/>
            <w:tcMar>
              <w:top w:w="70" w:type="dxa"/>
              <w:bottom w:w="70" w:type="dxa"/>
              <w:start w:w="130" w:type="dxa"/>
              <w:end w:w="130" w:type="dxa"/>
            </w:tcMar>
          </w:tcPr>
          <w:p>
            <w:pPr>
              <w:spacing w:after="0"/>
            </w:pPr>
            <w:r>
              <w:rPr>
                <w:rFonts w:ascii="Calibri" w:hAnsi="Calibri"/>
                <w:b/>
                <w:i w:val="0"/>
                <w:color w:val="FFFFFF"/>
                <w:sz w:val="25"/>
              </w:rPr>
              <w:t>Child-Inclusive Mediation &amp; Parenting Coordination Consent</w:t>
            </w:r>
          </w:p>
        </w:tc>
        <w:tc>
          <w:tcPr>
            <w:tcW w:type="dxa" w:w="1872"/>
            <w:shd w:val="clear" w:color="auto" w:fill="C6A15B"/>
            <w:tcMar>
              <w:top w:w="70" w:type="dxa"/>
              <w:bottom w:w="70" w:type="dxa"/>
              <w:start w:w="90" w:type="dxa"/>
              <w:end w:w="90" w:type="dxa"/>
            </w:tcMar>
          </w:tcPr>
          <w:p>
            <w:pPr>
              <w:spacing w:after="0"/>
              <w:jc w:val="right"/>
            </w:pPr>
            <w:r>
              <w:rPr>
                <w:rFonts w:ascii="Calibri" w:hAnsi="Calibri"/>
                <w:b/>
                <w:i w:val="0"/>
                <w:color w:val="123B4F"/>
                <w:sz w:val="21"/>
              </w:rPr>
              <w:t>Form F-29</w:t>
            </w:r>
          </w:p>
        </w:tc>
      </w:tr>
    </w:tbl>
    <w:p>
      <w:pPr>
        <w:spacing w:after="80"/>
      </w:pPr>
      <w:r>
        <w:rPr>
          <w:rFonts w:ascii="Calibri" w:hAnsi="Calibri"/>
          <w:b w:val="0"/>
          <w:i/>
          <w:color w:val="556168"/>
          <w:sz w:val="18"/>
        </w:rPr>
        <w:t>Consent of both parents to hear the child's voice, age-appropriately, through a child specialist. The child's welfare is paramount and their views are not determinative.</w:t>
      </w: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Case No.</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Parent 1</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Parent 2</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Child(ren) &amp; ages</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Child specialist</w:t>
            </w:r>
          </w:p>
        </w:tc>
        <w:tc>
          <w:tcPr>
            <w:tcW w:type="dxa" w:w="6273"/>
            <w:tcMar>
              <w:top w:w="60" w:type="dxa"/>
              <w:bottom w:w="60" w:type="dxa"/>
              <w:start w:w="110" w:type="dxa"/>
              <w:end w:w="110" w:type="dxa"/>
            </w:tcMar>
          </w:tcPr>
          <w:p>
            <w:pPr>
              <w:spacing w:after="0"/>
            </w:pP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CONSENT</w:t>
            </w:r>
          </w:p>
        </w:tc>
      </w:tr>
    </w:tbl>
    <w:p>
      <w:pPr>
        <w:spacing w:after="20"/>
      </w:pPr>
    </w:p>
    <w:p>
      <w:pPr>
        <w:spacing w:after="20"/>
      </w:pPr>
      <w:r>
        <w:rPr>
          <w:rFonts w:ascii="Calibri" w:hAnsi="Calibri"/>
          <w:b/>
          <w:i w:val="0"/>
          <w:color w:val="123B4F"/>
          <w:sz w:val="18"/>
        </w:rPr>
        <w:t>We, the parents, consent to:</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tcMar>
              <w:top w:w="16" w:type="dxa"/>
              <w:bottom w:w="16" w:type="dxa"/>
              <w:start w:w="30" w:type="dxa"/>
              <w:end w:w="70" w:type="dxa"/>
            </w:tcMar>
          </w:tcPr>
          <w:p>
            <w:pPr>
              <w:spacing w:after="0"/>
            </w:pPr>
            <w:r>
              <w:rPr>
                <w:rFonts w:ascii="Calibri" w:hAnsi="Calibri"/>
                <w:b w:val="0"/>
                <w:i w:val="0"/>
                <w:color w:val="1B2A32"/>
                <w:sz w:val="18"/>
              </w:rPr>
              <w:t>☐  The child being given an age-appropriate, voluntary opportunity to express views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A trained child specialist conducting the session, using non-leading methods</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child's views being considered (but not being determinative)</w:t>
            </w:r>
          </w:p>
        </w:tc>
      </w:tr>
      <w:tr>
        <w:tc>
          <w:tcPr>
            <w:tcW w:type="dxa" w:w="9504"/>
            <w:tcMar>
              <w:top w:w="16" w:type="dxa"/>
              <w:bottom w:w="16" w:type="dxa"/>
              <w:start w:w="30" w:type="dxa"/>
              <w:end w:w="70" w:type="dxa"/>
            </w:tcMar>
          </w:tcPr>
          <w:p>
            <w:pPr>
              <w:spacing w:after="0"/>
            </w:pPr>
            <w:r>
              <w:rPr>
                <w:rFonts w:ascii="Calibri" w:hAnsi="Calibri"/>
                <w:b w:val="0"/>
                <w:i w:val="0"/>
                <w:color w:val="1B2A32"/>
                <w:sz w:val="18"/>
              </w:rPr>
              <w:t>☐  The child not being asked to choose between us or to carry responsibility for decisions</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SAFEGUARDS</w:t>
            </w:r>
          </w:p>
        </w:tc>
      </w:tr>
    </w:tbl>
    <w:p>
      <w:pPr>
        <w:spacing w:after="20"/>
      </w:pPr>
    </w:p>
    <w:p>
      <w:pPr>
        <w:spacing w:after="80"/>
        <w:jc w:val="both"/>
      </w:pPr>
      <w:r>
        <w:rPr>
          <w:rFonts w:ascii="Calibri" w:hAnsi="Calibri"/>
          <w:b w:val="0"/>
          <w:i w:val="0"/>
          <w:color w:val="1B2A32"/>
          <w:sz w:val="19"/>
        </w:rPr>
        <w:t xml:space="preserve">The child's participation is voluntary and may stop at any time. What the child shares is handled sensitively and with special care as children's data (DPDP Act). The child's </w:t>
      </w:r>
      <w:r>
        <w:rPr>
          <w:rFonts w:ascii="Calibri" w:hAnsi="Calibri"/>
          <w:b/>
          <w:i w:val="0"/>
          <w:color w:val="1B2A32"/>
          <w:sz w:val="19"/>
        </w:rPr>
        <w:t>welfare is the paramount consideration</w:t>
      </w:r>
      <w:r>
        <w:rPr>
          <w:rFonts w:ascii="Calibri" w:hAnsi="Calibri"/>
          <w:b w:val="0"/>
          <w:i w:val="0"/>
          <w:color w:val="1B2A32"/>
          <w:sz w:val="19"/>
        </w:rPr>
        <w:t>; child-inclusion proceeds only if it is right for this child.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9504"/>
      </w:tblGrid>
      <w:tr>
        <w:tc>
          <w:tcPr>
            <w:tcW w:type="dxa" w:w="9504"/>
            <w:shd w:val="clear" w:color="auto" w:fill="1E7A8C"/>
            <w:tcMar>
              <w:top w:w="34" w:type="dxa"/>
              <w:bottom w:w="34" w:type="dxa"/>
              <w:start w:w="120" w:type="dxa"/>
              <w:end w:w="120" w:type="dxa"/>
            </w:tcMar>
          </w:tcPr>
          <w:p>
            <w:pPr>
              <w:spacing w:after="0"/>
            </w:pPr>
            <w:r>
              <w:rPr>
                <w:rFonts w:ascii="Calibri" w:hAnsi="Calibri"/>
                <w:b/>
                <w:i w:val="0"/>
                <w:color w:val="FFFFFF"/>
                <w:sz w:val="19"/>
              </w:rPr>
              <w:t>PARENTING COORDINATION (optional, ongoing)</w:t>
            </w:r>
          </w:p>
        </w:tc>
      </w:tr>
    </w:tbl>
    <w:p>
      <w:pPr>
        <w:spacing w:after="20"/>
      </w:pPr>
    </w:p>
    <w:tbl>
      <w:tblPr>
        <w:tblW w:type="auto" w:w="0"/>
        <w:tblLayout w:type="fixed"/>
        <w:tblLook w:firstColumn="1" w:firstRow="1" w:lastColumn="0" w:lastRow="0" w:noHBand="0" w:noVBand="1" w:val="04A0"/>
        <w:tblBorders>
          <w:top w:val="single" w:sz="4" w:space="0" w:color="B9C7CE"/>
          <w:left w:val="single" w:sz="4" w:space="0" w:color="B9C7CE"/>
          <w:bottom w:val="single" w:sz="4" w:space="0" w:color="B9C7CE"/>
          <w:right w:val="single" w:sz="4" w:space="0" w:color="B9C7CE"/>
          <w:insideH w:val="single" w:sz="4" w:space="0" w:color="B9C7CE"/>
          <w:insideV w:val="single" w:sz="4" w:space="0" w:color="B9C7CE"/>
        </w:tblBorders>
      </w:tblPr>
      <w:tblGrid>
        <w:gridCol w:w="4752"/>
        <w:gridCol w:w="4752"/>
      </w:tblGrid>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Do the parents wish to appoint a parenting coordinator for future disputes? (Y/N)</w:t>
            </w:r>
          </w:p>
        </w:tc>
        <w:tc>
          <w:tcPr>
            <w:tcW w:type="dxa" w:w="6273"/>
            <w:tcMar>
              <w:top w:w="60" w:type="dxa"/>
              <w:bottom w:w="60" w:type="dxa"/>
              <w:start w:w="110" w:type="dxa"/>
              <w:end w:w="110" w:type="dxa"/>
            </w:tcMar>
          </w:tcPr>
          <w:p>
            <w:pPr>
              <w:spacing w:after="0"/>
            </w:pPr>
          </w:p>
        </w:tc>
      </w:tr>
      <w:tr>
        <w:tc>
          <w:tcPr>
            <w:tcW w:type="dxa" w:w="3231"/>
            <w:shd w:val="clear" w:color="auto" w:fill="DCEAEF"/>
            <w:tcMar>
              <w:top w:w="60" w:type="dxa"/>
              <w:bottom w:w="60" w:type="dxa"/>
              <w:start w:w="110" w:type="dxa"/>
              <w:end w:w="110" w:type="dxa"/>
            </w:tcMar>
          </w:tcPr>
          <w:p>
            <w:pPr>
              <w:spacing w:after="0"/>
            </w:pPr>
            <w:r>
              <w:rPr>
                <w:rFonts w:ascii="Calibri" w:hAnsi="Calibri"/>
                <w:b/>
                <w:i w:val="0"/>
                <w:color w:val="123B4F"/>
                <w:sz w:val="18"/>
              </w:rPr>
              <w:t>Scope / duration</w:t>
            </w:r>
          </w:p>
        </w:tc>
        <w:tc>
          <w:tcPr>
            <w:tcW w:type="dxa" w:w="6273"/>
            <w:tcMar>
              <w:top w:w="60" w:type="dxa"/>
              <w:bottom w:w="60" w:type="dxa"/>
              <w:start w:w="110" w:type="dxa"/>
              <w:end w:w="110" w:type="dxa"/>
            </w:tcMar>
          </w:tcPr>
          <w:p>
            <w:pPr>
              <w:spacing w:after="0"/>
            </w:pPr>
          </w:p>
        </w:tc>
      </w:tr>
    </w:tbl>
    <w:p>
      <w:pPr>
        <w:spacing w:after="40"/>
      </w:pPr>
    </w:p>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168"/>
        <w:gridCol w:w="3168"/>
        <w:gridCol w:w="3168"/>
      </w:tblGrid>
      <w:tr>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Parent 1</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Parent 2</w:t>
            </w:r>
          </w:p>
          <w:p>
            <w:pPr>
              <w:spacing w:after="0"/>
            </w:pPr>
            <w:r>
              <w:rPr>
                <w:rFonts w:ascii="Calibri" w:hAnsi="Calibri"/>
                <w:b w:val="0"/>
                <w:i/>
                <w:color w:val="556168"/>
                <w:sz w:val="14"/>
              </w:rPr>
              <w:t>Name / Signature / Date</w:t>
            </w:r>
          </w:p>
        </w:tc>
        <w:tc>
          <w:tcPr>
            <w:tcW w:type="dxa" w:w="3168"/>
            <w:tcMar>
              <w:top w:w="130" w:type="dxa"/>
              <w:bottom w:w="10" w:type="dxa"/>
              <w:start w:w="40" w:type="dxa"/>
              <w:end w:w="120" w:type="dxa"/>
            </w:tcMar>
          </w:tcPr>
          <w:p>
            <w:r>
              <w:rPr>
                <w:rFonts w:ascii="Calibri" w:hAnsi="Calibri"/>
                <w:b w:val="0"/>
                <w:i w:val="0"/>
                <w:color w:val="1B2A32"/>
                <w:sz w:val="18"/>
              </w:rPr>
              <w:t>________________________</w:t>
            </w:r>
          </w:p>
          <w:p>
            <w:pPr>
              <w:spacing w:after="0"/>
            </w:pPr>
            <w:r>
              <w:rPr>
                <w:rFonts w:ascii="Calibri" w:hAnsi="Calibri"/>
                <w:b/>
                <w:i w:val="0"/>
                <w:color w:val="123B4F"/>
                <w:sz w:val="16"/>
              </w:rPr>
              <w:t>Child specialist</w:t>
            </w:r>
          </w:p>
          <w:p>
            <w:pPr>
              <w:spacing w:after="0"/>
            </w:pPr>
            <w:r>
              <w:rPr>
                <w:rFonts w:ascii="Calibri" w:hAnsi="Calibri"/>
                <w:b w:val="0"/>
                <w:i/>
                <w:color w:val="556168"/>
                <w:sz w:val="14"/>
              </w:rPr>
              <w:t>Name / Signature / Date</w:t>
            </w:r>
          </w:p>
        </w:tc>
      </w:tr>
    </w:tbl>
    <w:p>
      <w:pPr>
        <w:spacing w:after="40"/>
      </w:pPr>
    </w:p>
    <w:sectPr w:rsidR="00FC693F" w:rsidRPr="0006063C" w:rsidSect="00034616">
      <w:headerReference w:type="default" r:id="rId20"/>
      <w:footerReference w:type="default" r:id="rId21"/>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Marital &amp; Family Dispute Resolution —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24"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customXml" Target="../customXml/item3.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5776EC-9F30-4DE8-B899-A4160C9D8360}"/>
</file>

<file path=customXml/itemProps3.xml><?xml version="1.0" encoding="utf-8"?>
<ds:datastoreItem xmlns:ds="http://schemas.openxmlformats.org/officeDocument/2006/customXml" ds:itemID="{4BA62BC7-85EB-4D58-BCF3-3E7A1646672C}"/>
</file>

<file path=customXml/itemProps4.xml><?xml version="1.0" encoding="utf-8"?>
<ds:datastoreItem xmlns:ds="http://schemas.openxmlformats.org/officeDocument/2006/customXml" ds:itemID="{DCF67BC9-9B57-4FD4-A7FB-E3B51FD477C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