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F-07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Affidavit of Assets &amp; Liabilities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Mandatory disclosure in all maintenance matters (per Rajnesh v. Neha, (2021) 2 SCC 324). To be sworn / notarised.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Deponent (name)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Age / occupation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Residential 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PERSONAL &amp; FAMILY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Marital status &amp; date of marriage / separation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Number of dependants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Details of dependants (relation, age)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Standard of living during the marriage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INCOME &amp; EMPLOYMENT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Employer / business / profession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Gross monthly income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Net monthly income (after statutory deductions)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Other income (rent, interest, dividends)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Income tax paid (last year)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ASSETS (MOVABLE &amp; IMMOVABLE)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50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Asset / description</w:t>
            </w:r>
          </w:p>
        </w:tc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Ownership (sole/joint)</w:t>
            </w:r>
          </w:p>
        </w:tc>
        <w:tc>
          <w:tcPr>
            <w:tcW w:type="dxa" w:w="254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Approx. value (Rs.)</w:t>
            </w:r>
          </w:p>
        </w:tc>
      </w:tr>
      <w:tr>
        <w:tc>
          <w:tcPr>
            <w:tcW w:type="dxa" w:w="50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50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0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LIABILITIES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329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Loan / liability</w:t>
            </w:r>
          </w:p>
        </w:tc>
        <w:tc>
          <w:tcPr>
            <w:tcW w:type="dxa" w:w="254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Lender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Outstanding (Rs.)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Monthly EMI (Rs.)</w:t>
            </w:r>
          </w:p>
        </w:tc>
      </w:tr>
      <w:tr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E.  MONTHLY EXPENSES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636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Head of expense</w:t>
            </w:r>
          </w:p>
        </w:tc>
        <w:tc>
          <w:tcPr>
            <w:tcW w:type="dxa" w:w="342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(Rs.) per month</w:t>
            </w:r>
          </w:p>
        </w:tc>
      </w:tr>
      <w:tr>
        <w:tc>
          <w:tcPr>
            <w:tcW w:type="dxa" w:w="636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42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36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42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636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42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36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42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F.  KNOWN ASSETS / INCOME OF THE OTHER PARTY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636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342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Approx. value / income (Rs.)</w:t>
            </w:r>
          </w:p>
        </w:tc>
      </w:tr>
      <w:tr>
        <w:tc>
          <w:tcPr>
            <w:tcW w:type="dxa" w:w="636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42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36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42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636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42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solemnly affirm that the disclosures above are </w:t>
      </w:r>
      <w:r>
        <w:rPr>
          <w:rFonts w:ascii="Calibri" w:hAnsi="Calibri"/>
          <w:b/>
          <w:i w:val="0"/>
          <w:color w:val="1B2A32"/>
          <w:sz w:val="18"/>
        </w:rPr>
        <w:t>true, complete and correct</w:t>
      </w:r>
      <w:r>
        <w:rPr>
          <w:rFonts w:ascii="Calibri" w:hAnsi="Calibri"/>
          <w:b w:val="0"/>
          <w:i w:val="0"/>
          <w:color w:val="1B2A32"/>
          <w:sz w:val="18"/>
        </w:rPr>
        <w:t>, and that I have not concealed any asset, income or liability.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a false affidavit may attract action for perjury and an adverse inference on maintenance.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Deponent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Attested / Notary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Interim maintenance is ordinarily decided within ~60 days and runs from the date of application (Rajnesh v. Neha).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F-07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1C4958-35A7-46B2-9D8C-93755A22F64F}"/>
</file>

<file path=customXml/itemProps3.xml><?xml version="1.0" encoding="utf-8"?>
<ds:datastoreItem xmlns:ds="http://schemas.openxmlformats.org/officeDocument/2006/customXml" ds:itemID="{1B3DCB2A-7F01-420F-BB54-8D7BA90E88C2}"/>
</file>

<file path=customXml/itemProps4.xml><?xml version="1.0" encoding="utf-8"?>
<ds:datastoreItem xmlns:ds="http://schemas.openxmlformats.org/officeDocument/2006/customXml" ds:itemID="{F3FB2F5B-C4B8-41E2-ABBF-AB6B8EC263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