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Interim Arrangements Record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urgent arrangements agreed before or during mediation, pending final settlement.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AGREED INTERIM ARRANGEMENTS (WITHOUT PREJUDICE)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Interim maintenance (amount / mode / date payable)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Residence / who stays where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Children — schooling, expenses, day-to-day care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Interim custody &amp; contact / visitation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No-contact / no-harassment terms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Preservation of assets / accounts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Duration (until final settlement or a fixed 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These interim terms are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without prejudice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to either party's final position and do not amount to an admission. They may be recorded by the court where required.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F-08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21F247-C974-419F-94E6-B6A824568F29}"/>
</file>

<file path=customXml/itemProps3.xml><?xml version="1.0" encoding="utf-8"?>
<ds:datastoreItem xmlns:ds="http://schemas.openxmlformats.org/officeDocument/2006/customXml" ds:itemID="{8EBB7686-3FA2-41A7-9877-A5C6C730751B}"/>
</file>

<file path=customXml/itemProps4.xml><?xml version="1.0" encoding="utf-8"?>
<ds:datastoreItem xmlns:ds="http://schemas.openxmlformats.org/officeDocument/2006/customXml" ds:itemID="{4238A2B8-AAED-47F6-81CB-344AF7BD4A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