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F-12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Family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Joint Memorandum - Withdrawal / Compounding / Quashing of Criminal Proceedings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Records the parties' agreement to bring cross-complaints to a lawful close on settlement.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 (mediation)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Party 1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Party 2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1.  PROCEEDINGS TO BE CLOSED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154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FIR / Case no.</w:t>
            </w:r>
          </w:p>
        </w:tc>
        <w:tc>
          <w:tcPr>
            <w:tcW w:type="dxa" w:w="274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Police Station / Court</w:t>
            </w:r>
          </w:p>
        </w:tc>
        <w:tc>
          <w:tcPr>
            <w:tcW w:type="dxa" w:w="3133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Provisions (e.g., BNS 85/86, DP Act)</w:t>
            </w:r>
          </w:p>
        </w:tc>
        <w:tc>
          <w:tcPr>
            <w:tcW w:type="dxa" w:w="1763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Compoundable? (Y/N)</w:t>
            </w:r>
          </w:p>
        </w:tc>
      </w:tr>
      <w:tr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74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313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74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313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74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313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2.  STATEMENT OF SETTLEMENT</w:t>
            </w:r>
          </w:p>
        </w:tc>
      </w:tr>
    </w:tbl>
    <w:p>
      <w:pPr>
        <w:spacing w:after="20"/>
      </w:pPr>
    </w:p>
    <w:p>
      <w:pPr>
        <w:spacing w:after="100"/>
        <w:jc w:val="both"/>
      </w:pPr>
      <w:r>
        <w:rPr>
          <w:rFonts w:ascii="Calibri" w:hAnsi="Calibri"/>
          <w:b w:val="0"/>
          <w:i w:val="0"/>
          <w:color w:val="1B2A32"/>
          <w:sz w:val="19"/>
        </w:rPr>
        <w:t>The parties have amicably and voluntarily settled all matrimonial disputes (see MSA, Form F-10). In light of the settlement, they jointly wish to bring the above proceedings to a close by the appropriate route.</w:t>
      </w: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Route(s):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Compounding before the trial court (s.359 BNSS) — for compoundable offences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Quashing by the High Court (s.528 BNSS) — for non-compoundable but private matrimonial offences (Gian Singh)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Withdrawal of complaint / no-objection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3.  COVENANTS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Each party will cooperate in filing the joint application(s) for compounding / quashing / withdrawal and will not obstruct closure.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 xml:space="preserve">Each party covenants </w:t>
      </w:r>
      <w:r>
        <w:rPr>
          <w:rFonts w:ascii="Calibri" w:hAnsi="Calibri"/>
          <w:b/>
          <w:i w:val="0"/>
          <w:color w:val="1B2A32"/>
          <w:sz w:val="18"/>
        </w:rPr>
        <w:t>not to initiate or pursue</w:t>
      </w:r>
      <w:r>
        <w:rPr>
          <w:rFonts w:ascii="Calibri" w:hAnsi="Calibri"/>
          <w:b w:val="0"/>
          <w:i w:val="0"/>
          <w:color w:val="1B2A32"/>
          <w:sz w:val="18"/>
        </w:rPr>
        <w:t xml:space="preserve"> any further complaint on the settled matters (non-prosecution).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 xml:space="preserve">This memorandum is given </w:t>
      </w:r>
      <w:r>
        <w:rPr>
          <w:rFonts w:ascii="Calibri" w:hAnsi="Calibri"/>
          <w:b/>
          <w:i w:val="0"/>
          <w:color w:val="1B2A32"/>
          <w:sz w:val="18"/>
        </w:rPr>
        <w:t>voluntarily, without coercion</w:t>
      </w:r>
      <w:r>
        <w:rPr>
          <w:rFonts w:ascii="Calibri" w:hAnsi="Calibri"/>
          <w:b w:val="0"/>
          <w:i w:val="0"/>
          <w:color w:val="1B2A32"/>
          <w:sz w:val="18"/>
        </w:rPr>
        <w:t>, as part of a genuine settlement of a private dispute.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Release of the linked escrow tranche is conditioned on the court recording the settlement / passing the closure order.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792"/>
      </w:tblGrid>
      <w:tr>
        <w:tc>
          <w:tcPr>
            <w:tcW w:type="dxa" w:w="9792"/>
            <w:shd w:val="clear" w:color="auto" w:fill="F5ECD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Heinous or public-interest offences (e.g., dowry death, grievous hurt) cannot be quashed merely on settlement; such matters proceed before the court.</w:t>
            </w:r>
          </w:p>
        </w:tc>
      </w:tr>
    </w:tbl>
    <w:p>
      <w:pPr>
        <w:spacing w:after="40"/>
      </w:pP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Party 1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Party 2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Counsel (if any)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F-12  ·  Confidential  ·  This form takes legal effect subject to the Mediation Act, 2023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F1D0B56-4209-49C8-94EC-6874B451A201}"/>
</file>

<file path=customXml/itemProps3.xml><?xml version="1.0" encoding="utf-8"?>
<ds:datastoreItem xmlns:ds="http://schemas.openxmlformats.org/officeDocument/2006/customXml" ds:itemID="{DFA11284-5958-4642-9B0B-880C8E3BB449}"/>
</file>

<file path=customXml/itemProps4.xml><?xml version="1.0" encoding="utf-8"?>
<ds:datastoreItem xmlns:ds="http://schemas.openxmlformats.org/officeDocument/2006/customXml" ds:itemID="{0D55C527-BC46-418D-9756-28CF894A9DC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