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F-17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Parenting Plan Schedule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A child-centred plan; the child's welfare is the paramount consideration. Annexed to the MSA (F-10).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Parent 1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Parent 2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CHILD(REN)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3329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Child's name</w:t>
            </w:r>
          </w:p>
        </w:tc>
        <w:tc>
          <w:tcPr>
            <w:tcW w:type="dxa" w:w="1175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Age</w:t>
            </w:r>
          </w:p>
        </w:tc>
        <w:tc>
          <w:tcPr>
            <w:tcW w:type="dxa" w:w="313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School / class</w:t>
            </w:r>
          </w:p>
        </w:tc>
        <w:tc>
          <w:tcPr>
            <w:tcW w:type="dxa" w:w="215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Special needs (if any)</w:t>
            </w:r>
          </w:p>
        </w:tc>
      </w:tr>
      <w:tr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332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CUSTODY &amp; DECISION-MAKING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Physical custody (who the child lives with)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Legal / decision-making (education, health, religion)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Joint / shared custody arrangement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SCHEDULE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Regular weekday / weekend schedule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Holidays, festivals &amp; vacations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Birthdays &amp; special occasions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Handover arrangements (time / place)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4.  CARE, SCHOOLING &amp; HEALTH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Schooling &amp; activities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Medical decisions &amp; emergencies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Communication with the non-resident parent (calls/video)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5.  TRAVEL, RELOCATION &amp; FUTURE DISPUTES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Domestic / overseas travel &amp; child's passport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Relocation (notice &amp; consent)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How future disagreements will be resolved (return to mediation)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We confirm this plan is made in the </w:t>
      </w:r>
      <w:r>
        <w:rPr>
          <w:rFonts w:ascii="Calibri" w:hAnsi="Calibri"/>
          <w:b/>
          <w:i w:val="0"/>
          <w:color w:val="1B2A32"/>
          <w:sz w:val="18"/>
        </w:rPr>
        <w:t>best interests and welfare of the child</w:t>
      </w:r>
      <w:r>
        <w:rPr>
          <w:rFonts w:ascii="Calibri" w:hAnsi="Calibri"/>
          <w:b w:val="0"/>
          <w:i w:val="0"/>
          <w:color w:val="1B2A32"/>
          <w:sz w:val="18"/>
        </w:rPr>
        <w:t>, which is our paramount consideration.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will each support the child's relationship with the other parent and not disparage the other before the child.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We understand any custody arrangement takes effect subject to the competent court.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Parent 1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Parent 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Mediator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F-17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59A723-2360-4C99-AA37-DF4C6B491105}"/>
</file>

<file path=customXml/itemProps3.xml><?xml version="1.0" encoding="utf-8"?>
<ds:datastoreItem xmlns:ds="http://schemas.openxmlformats.org/officeDocument/2006/customXml" ds:itemID="{388D715A-5B39-4694-92F1-6ADD4112AEA5}"/>
</file>

<file path=customXml/itemProps4.xml><?xml version="1.0" encoding="utf-8"?>
<ds:datastoreItem xmlns:ds="http://schemas.openxmlformats.org/officeDocument/2006/customXml" ds:itemID="{FE4F3EC5-169E-451C-9192-17973AA9C3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