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Authorisation / Vakalatnama for Representative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Where a party wishes an advocate or authorised representative to act in the mediation.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(principal)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Representative / advocate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Enrolment / Bar Council no. (if advocate)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Contact (mobile / email)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SCOPE OF AUTHORITY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representative is authorised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Attend and participate in mediation sessions with me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Negotiate settlement terms on my behalf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Receive notices and correspondence on my behalf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Assist with court steps (petition, quashing, registration)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Signing authority: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May sign the MSA on my behalf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MSA to be signed by me personally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authorise the above representative to act within the scope marked, and I remain bound by their acts within that scope.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representative undertakes to maintain confidentiality of the mediation.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(principal)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Representative (accepting)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F-19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104A32-9E35-41A7-9A65-DF231F7946DD}"/>
</file>

<file path=customXml/itemProps3.xml><?xml version="1.0" encoding="utf-8"?>
<ds:datastoreItem xmlns:ds="http://schemas.openxmlformats.org/officeDocument/2006/customXml" ds:itemID="{C55899D7-5375-4966-AA8F-EAFE84B69DE4}"/>
</file>

<file path=customXml/itemProps4.xml><?xml version="1.0" encoding="utf-8"?>
<ds:datastoreItem xmlns:ds="http://schemas.openxmlformats.org/officeDocument/2006/customXml" ds:itemID="{D3F75435-2A02-4C3B-BFC4-27C84C55F7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