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Grievance / Complaint Form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raise a concern about a mediator, case manager, or the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Complainant name &amp; contact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NATURE OF GRIEVANCE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grievance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mediator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case manager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Platform / process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Data / privacy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Fees / escrow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Describe the grievance (facts, dates)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What resolution are you seeking?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Equator will acknowledge within 3 working days and aim to resolve within 15 working days. Data-privacy grievances are handled by the Data Grievance Officer (grievance@equatorresolution.com). Escalation to the Mediation Council of India remains available where applicable.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Complainant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F-22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EDB946-87F7-4EF2-87C5-786A241B89AE}"/>
</file>

<file path=customXml/itemProps3.xml><?xml version="1.0" encoding="utf-8"?>
<ds:datastoreItem xmlns:ds="http://schemas.openxmlformats.org/officeDocument/2006/customXml" ds:itemID="{367B6F24-EA5B-4449-83BC-3097CAD135BF}"/>
</file>

<file path=customXml/itemProps4.xml><?xml version="1.0" encoding="utf-8"?>
<ds:datastoreItem xmlns:ds="http://schemas.openxmlformats.org/officeDocument/2006/customXml" ds:itemID="{2709C1BF-857A-45B8-95A2-96B9B3CB53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