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Mediator Fee Receipt / Invoice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Issued for fees paid to the mediator and Equator Resolution.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Receipt / Invoice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Mediator &amp; grade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PARTICULARS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450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Particulars</w:t>
            </w:r>
          </w:p>
        </w:tc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Sessions / basis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(Rs.)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Sub-total (Rs.)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Taxes (GST, if applicable) (Rs.)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(Rs.)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Mode of payment (UPI / card / bank)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Transaction reference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This receipt is issued per the Equator Schedule of Fees. Registration and case-management fees are billed separately as applicable.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Authorised signatory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F-23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798367-7770-4C86-92A0-73819EE27416}"/>
</file>

<file path=customXml/itemProps3.xml><?xml version="1.0" encoding="utf-8"?>
<ds:datastoreItem xmlns:ds="http://schemas.openxmlformats.org/officeDocument/2006/customXml" ds:itemID="{B7B85377-E104-4DC2-86EC-C242F8828593}"/>
</file>

<file path=customXml/itemProps4.xml><?xml version="1.0" encoding="utf-8"?>
<ds:datastoreItem xmlns:ds="http://schemas.openxmlformats.org/officeDocument/2006/customXml" ds:itemID="{76BF0641-6994-4A57-A55E-616C95D682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