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Intake Screening &amp; Suitability Assessment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Completed with each party separately at the Mediation Information &amp; Suitability Session (MISS). Informed by the AFCC standards and MASIC screening.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assessed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Assessed separately?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Assessor (mediator / case manager)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INFORMATION PROVIDED (MISS)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Confirmed the party was informed about: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What mediation is and its voluntary, confidential nature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process, timeline (120+60 days) and fees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Alternatives, including court, and the option of legal advice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SUITABILITY FACTORS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Any of the following present?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Willingness of both to participate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Ability to negotiate freely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Matter fit for mediation (not excluded by s.6)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Capacity to understand &amp; decide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SAFETY &amp; COERCION SCREEN (structured; ask each party privately)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Any indicator present? (any 'yes' triggers the safety protocol)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History or fear of physical violence / threats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Coercive control or intimidation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Reluctance to be in the same room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Concern about children's safety / abduction risk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Active FIR or protection order between the parties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Substance abuse / weapon access disclosed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CAPACITY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Any capacity / language / power-imbalance concern?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Accommodations arranged (interpreter, support person)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E.  OUTCOME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Assessment outcome: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Suitable for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Suitable WITH safeguards (separate/shuttle sessions, etc.)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suitable — refer to court / other support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Safeguards / referral notes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Screening is ongoing, not one-time — reassess at every session. Domestic-violence disclosures are NOT protected by mediation confidentiality (Mediation Act s.22).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Assessor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F-26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F4BC33-801C-445D-BDFF-F2D5DE89852D}"/>
</file>

<file path=customXml/itemProps3.xml><?xml version="1.0" encoding="utf-8"?>
<ds:datastoreItem xmlns:ds="http://schemas.openxmlformats.org/officeDocument/2006/customXml" ds:itemID="{E1B3A77B-36B5-4430-86A7-40ED2495697E}"/>
</file>

<file path=customXml/itemProps4.xml><?xml version="1.0" encoding="utf-8"?>
<ds:datastoreItem xmlns:ds="http://schemas.openxmlformats.org/officeDocument/2006/customXml" ds:itemID="{590B5989-585A-45C0-8C0E-B0176B441A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