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Independent Legal Advice (ILA) Certificate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that a party had the opportunity for, or obtained, independent legal advice before signing the MSA; and acknowledges the cooling-off window.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Advising advocate (name &amp; enrolment no., if obtained)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Please confirm: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was advised of my right to obtain independent legal advice before signing the settlement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have obtained independent legal advice on the terms of the settlement, OR I have knowingly chosen not to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understand the terms and their effect, including that the registered MSA is enforceable as a decree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am signing freely and without coercion, fraud or undue influence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understand a cooling-off / reflection period applies before the settlement becomes final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ADVOCATE'S CONFIRMATION (if advice obtained)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I confirm that I have explained the nature and effect of the settlement terms to the above party, who appeared to understand them and to be acting of their own free will.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Advising advocate (if any)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F-27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EA199-AE27-4C74-A735-ECB72F538542}"/>
</file>

<file path=customXml/itemProps3.xml><?xml version="1.0" encoding="utf-8"?>
<ds:datastoreItem xmlns:ds="http://schemas.openxmlformats.org/officeDocument/2006/customXml" ds:itemID="{3FF26C69-65EB-44FF-8A88-B63FAF43AD82}"/>
</file>

<file path=customXml/itemProps4.xml><?xml version="1.0" encoding="utf-8"?>
<ds:datastoreItem xmlns:ds="http://schemas.openxmlformats.org/officeDocument/2006/customXml" ds:itemID="{7DB77629-ED40-4D87-BB4D-5D6C41B3E8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