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23B4F"/>
          <w:sz w:val="30"/>
        </w:rPr>
        <w:t>EQUATOR RESOLUTION</w:t>
      </w:r>
    </w:p>
    <w:p>
      <w:pPr>
        <w:spacing w:after="40"/>
        <w:jc w:val="center"/>
      </w:pPr>
      <w:r>
        <w:rPr>
          <w:rFonts w:ascii="Calibri" w:hAnsi="Calibri"/>
          <w:b w:val="0"/>
          <w:i/>
          <w:color w:val="1E7A8C"/>
          <w:sz w:val="19"/>
        </w:rPr>
        <w:t>Institutional Mediation &amp; Online Dispute Resolution</w:t>
      </w:r>
    </w:p>
    <w:p>
      <w:pPr>
        <w:pBdr>
          <w:bottom w:val="single" w:sz="14" w:space="1" w:color="C6A15B"/>
        </w:pBdr>
      </w:pPr>
    </w:p>
    <w:p>
      <w:pPr>
        <w:spacing w:before="200"/>
        <w:jc w:val="center"/>
      </w:pPr>
      <w:r>
        <w:rPr>
          <w:rFonts w:ascii="Calibri" w:hAnsi="Calibri"/>
          <w:b/>
          <w:i w:val="0"/>
          <w:color w:val="123B4F"/>
          <w:sz w:val="44"/>
        </w:rPr>
        <w:t>Mediator Toolkit &amp; SOP Runbooks</w:t>
      </w:r>
    </w:p>
    <w:p>
      <w:pPr>
        <w:jc w:val="center"/>
      </w:pPr>
      <w:r>
        <w:rPr>
          <w:rFonts w:ascii="Calibri" w:hAnsi="Calibri"/>
          <w:b w:val="0"/>
          <w:i w:val="0"/>
          <w:color w:val="556168"/>
          <w:sz w:val="22"/>
        </w:rPr>
        <w:t>Family &amp; Marital Dispute Resolution — operating companion to the Master Blueprint</w:t>
      </w:r>
    </w:p>
    <w:p>
      <w:pPr>
        <w:spacing w:after="120"/>
        <w:jc w:val="both"/>
      </w:pPr>
      <w:r>
        <w:rPr>
          <w:rFonts w:ascii="Calibri" w:hAnsi="Calibri"/>
          <w:b w:val="0"/>
          <w:i w:val="0"/>
          <w:color w:val="1B2A32"/>
          <w:sz w:val="21"/>
        </w:rPr>
        <w:t>This toolkit equips mediators and case managers to run family mediations consistently, safely and within the statutory timeline. Part 1 is the mediator's practical toolkit; Part 2 is the step-by-step SOP runbooks; Part 3 is worked ethics scenarios; Part 4 is the checklists. Adapt scripts to the parties and language; nothing here overrides the mediator's duty of neutrality, the parties' voluntariness, or the safety protocol.</w:t>
      </w:r>
    </w:p>
    <w:p>
      <w:pPr>
        <w:keepNext/>
        <w:spacing w:before="280" w:after="120"/>
        <w:pBdr>
          <w:bottom w:val="single" w:sz="12" w:space="3" w:color="C6A15B"/>
        </w:pBdr>
      </w:pPr>
      <w:r>
        <w:rPr>
          <w:rFonts w:ascii="Calibri" w:hAnsi="Calibri"/>
          <w:b/>
          <w:i w:val="0"/>
          <w:color w:val="123B4F"/>
          <w:sz w:val="34"/>
        </w:rPr>
        <w:t>Part 1 — The Mediator's Practical Toolkit</w:t>
      </w:r>
    </w:p>
    <w:p>
      <w:pPr>
        <w:keepNext/>
        <w:spacing w:before="200" w:after="60"/>
      </w:pPr>
      <w:r>
        <w:rPr>
          <w:rFonts w:ascii="Calibri" w:hAnsi="Calibri"/>
          <w:b/>
          <w:i w:val="0"/>
          <w:color w:val="1E7A8C"/>
          <w:sz w:val="26"/>
        </w:rPr>
        <w:t>1.1 Opening statement (first joint session)</w:t>
      </w:r>
    </w:p>
    <w:p>
      <w:pPr>
        <w:spacing w:after="120"/>
        <w:jc w:val="both"/>
      </w:pPr>
      <w:r>
        <w:rPr>
          <w:rFonts w:ascii="Calibri" w:hAnsi="Calibri"/>
          <w:b w:val="0"/>
          <w:i w:val="0"/>
          <w:color w:val="1B2A32"/>
          <w:sz w:val="21"/>
        </w:rPr>
        <w:t>Set the tone: calm, neutral, hopeful, in control of the process. A suggested script:</w:t>
      </w:r>
    </w:p>
    <w:p>
      <w:pPr>
        <w:spacing w:after="100"/>
        <w:ind w:left="360"/>
      </w:pPr>
      <w:r>
        <w:rPr>
          <w:rFonts w:ascii="Calibri" w:hAnsi="Calibri"/>
          <w:b w:val="0"/>
          <w:i/>
          <w:color w:val="1B2A32"/>
          <w:sz w:val="21"/>
        </w:rPr>
        <w:t>“Good morning. I am [name], your mediator, appointed through Equator Resolution. Thank you both for choosing to resolve this yourselves rather than leaving it to a court. My role is to help you talk and reach your own decisions — I am completely neutral, I will not take sides, and I will not decide anything for you or give legal advice.”</w:t>
      </w:r>
    </w:p>
    <w:p>
      <w:pPr>
        <w:spacing w:after="100"/>
        <w:ind w:left="360"/>
      </w:pPr>
      <w:r>
        <w:rPr>
          <w:rFonts w:ascii="Calibri" w:hAnsi="Calibri"/>
          <w:b w:val="0"/>
          <w:i/>
          <w:color w:val="1B2A32"/>
          <w:sz w:val="21"/>
        </w:rPr>
        <w:t>“Everything we discuss is confidential and cannot be used later in court — with one exception: if anyone is at risk of harm, I cannot keep that confidential. Please take independent legal advice on anything you are unsure about. You are each free to stop at any time. Shall we agree some simple ground rules and begin?”</w:t>
      </w:r>
    </w:p>
    <w:p>
      <w:pPr>
        <w:keepNext/>
        <w:spacing w:before="200" w:after="60"/>
      </w:pPr>
      <w:r>
        <w:rPr>
          <w:rFonts w:ascii="Calibri" w:hAnsi="Calibri"/>
          <w:b/>
          <w:i w:val="0"/>
          <w:color w:val="1E7A8C"/>
          <w:sz w:val="26"/>
        </w:rPr>
        <w:t>1.2 Ground rules</w:t>
      </w:r>
    </w:p>
    <w:p>
      <w:pPr>
        <w:pStyle w:val="ListBullet"/>
        <w:spacing w:after="60"/>
        <w:jc w:val="both"/>
      </w:pPr>
      <w:r>
        <w:rPr>
          <w:rFonts w:ascii="Calibri" w:hAnsi="Calibri"/>
          <w:b w:val="0"/>
          <w:i w:val="0"/>
          <w:color w:val="1B2A32"/>
          <w:sz w:val="21"/>
        </w:rPr>
        <w:t>One person speaks at a time; no interrupting.</w:t>
      </w:r>
    </w:p>
    <w:p>
      <w:pPr>
        <w:pStyle w:val="ListBullet"/>
        <w:spacing w:after="60"/>
        <w:jc w:val="both"/>
      </w:pPr>
      <w:r>
        <w:rPr>
          <w:rFonts w:ascii="Calibri" w:hAnsi="Calibri"/>
          <w:b w:val="0"/>
          <w:i w:val="0"/>
          <w:color w:val="1B2A32"/>
          <w:sz w:val="21"/>
        </w:rPr>
        <w:t>Speak to me, not at each other, when tensions rise.</w:t>
      </w:r>
    </w:p>
    <w:p>
      <w:pPr>
        <w:pStyle w:val="ListBullet"/>
        <w:spacing w:after="60"/>
        <w:jc w:val="both"/>
      </w:pPr>
      <w:r>
        <w:rPr>
          <w:rFonts w:ascii="Calibri" w:hAnsi="Calibri"/>
          <w:b w:val="0"/>
          <w:i w:val="0"/>
          <w:color w:val="1B2A32"/>
          <w:sz w:val="21"/>
        </w:rPr>
        <w:t>No abusive language or threats.</w:t>
      </w:r>
    </w:p>
    <w:p>
      <w:pPr>
        <w:pStyle w:val="ListBullet"/>
        <w:spacing w:after="60"/>
        <w:jc w:val="both"/>
      </w:pPr>
      <w:r>
        <w:rPr>
          <w:rFonts w:ascii="Calibri" w:hAnsi="Calibri"/>
          <w:b w:val="0"/>
          <w:i w:val="0"/>
          <w:color w:val="1B2A32"/>
          <w:sz w:val="21"/>
        </w:rPr>
        <w:t>What is said here stays here (subject to the safety exception).</w:t>
      </w:r>
    </w:p>
    <w:p>
      <w:pPr>
        <w:pStyle w:val="ListBullet"/>
        <w:spacing w:after="60"/>
        <w:jc w:val="both"/>
      </w:pPr>
      <w:r>
        <w:rPr>
          <w:rFonts w:ascii="Calibri" w:hAnsi="Calibri"/>
          <w:b w:val="0"/>
          <w:i w:val="0"/>
          <w:color w:val="1B2A32"/>
          <w:sz w:val="21"/>
        </w:rPr>
        <w:t>We will take breaks and private sessions (caucus) as needed.</w:t>
      </w:r>
    </w:p>
    <w:p>
      <w:pPr>
        <w:keepNext/>
        <w:spacing w:before="200" w:after="60"/>
      </w:pPr>
      <w:r>
        <w:rPr>
          <w:rFonts w:ascii="Calibri" w:hAnsi="Calibri"/>
          <w:b/>
          <w:i w:val="0"/>
          <w:color w:val="1E7A8C"/>
          <w:sz w:val="26"/>
        </w:rPr>
        <w:t>1.3 Questioning techniques</w:t>
      </w:r>
    </w:p>
    <w:p>
      <w:pPr>
        <w:spacing w:after="120"/>
        <w:jc w:val="both"/>
      </w:pPr>
      <w:r>
        <w:rPr>
          <w:rFonts w:ascii="Calibri" w:hAnsi="Calibri"/>
          <w:b w:val="0"/>
          <w:i w:val="0"/>
          <w:color w:val="1B2A32"/>
          <w:sz w:val="21"/>
        </w:rPr>
        <w:t xml:space="preserve">Use </w:t>
      </w:r>
      <w:r>
        <w:rPr>
          <w:rFonts w:ascii="Calibri" w:hAnsi="Calibri"/>
          <w:b/>
          <w:i w:val="0"/>
          <w:color w:val="1B2A32"/>
          <w:sz w:val="21"/>
        </w:rPr>
        <w:t>open questions</w:t>
      </w:r>
      <w:r>
        <w:rPr>
          <w:rFonts w:ascii="Calibri" w:hAnsi="Calibri"/>
          <w:b w:val="0"/>
          <w:i w:val="0"/>
          <w:color w:val="1B2A32"/>
          <w:sz w:val="21"/>
        </w:rPr>
        <w:t xml:space="preserve"> to widen understanding and </w:t>
      </w:r>
      <w:r>
        <w:rPr>
          <w:rFonts w:ascii="Calibri" w:hAnsi="Calibri"/>
          <w:b/>
          <w:i w:val="0"/>
          <w:color w:val="1B2A32"/>
          <w:sz w:val="21"/>
        </w:rPr>
        <w:t>reality-testing</w:t>
      </w:r>
      <w:r>
        <w:rPr>
          <w:rFonts w:ascii="Calibri" w:hAnsi="Calibri"/>
          <w:b w:val="0"/>
          <w:i w:val="0"/>
          <w:color w:val="1B2A32"/>
          <w:sz w:val="21"/>
        </w:rPr>
        <w:t xml:space="preserve"> to narrow toward workable terms.</w:t>
      </w:r>
    </w:p>
    <w:p>
      <w:pPr>
        <w:pStyle w:val="ListBullet"/>
        <w:spacing w:after="60"/>
        <w:jc w:val="both"/>
      </w:pPr>
      <w:r>
        <w:rPr>
          <w:rFonts w:ascii="Calibri" w:hAnsi="Calibri"/>
          <w:b w:val="0"/>
          <w:i w:val="0"/>
          <w:color w:val="1B2A32"/>
          <w:sz w:val="21"/>
        </w:rPr>
        <w:t>Open: “Help me understand what matters most to you about the children's routine.”</w:t>
      </w:r>
    </w:p>
    <w:p>
      <w:pPr>
        <w:pStyle w:val="ListBullet"/>
        <w:spacing w:after="60"/>
        <w:jc w:val="both"/>
      </w:pPr>
      <w:r>
        <w:rPr>
          <w:rFonts w:ascii="Calibri" w:hAnsi="Calibri"/>
          <w:b w:val="0"/>
          <w:i w:val="0"/>
          <w:color w:val="1B2A32"/>
          <w:sz w:val="21"/>
        </w:rPr>
        <w:t>Interests, not positions: “You've said you want the flat — what would that give you that matters?”</w:t>
      </w:r>
    </w:p>
    <w:p>
      <w:pPr>
        <w:pStyle w:val="ListBullet"/>
        <w:spacing w:after="60"/>
        <w:jc w:val="both"/>
      </w:pPr>
      <w:r>
        <w:rPr>
          <w:rFonts w:ascii="Calibri" w:hAnsi="Calibri"/>
          <w:b w:val="0"/>
          <w:i w:val="0"/>
          <w:color w:val="1B2A32"/>
          <w:sz w:val="21"/>
        </w:rPr>
        <w:t>Reality-test: “If this didn't settle and went to court for five years, how would that affect you and the children?”</w:t>
      </w:r>
    </w:p>
    <w:p>
      <w:pPr>
        <w:pStyle w:val="ListBullet"/>
        <w:spacing w:after="60"/>
        <w:jc w:val="both"/>
      </w:pPr>
      <w:r>
        <w:rPr>
          <w:rFonts w:ascii="Calibri" w:hAnsi="Calibri"/>
          <w:b w:val="0"/>
          <w:i w:val="0"/>
          <w:color w:val="1B2A32"/>
          <w:sz w:val="21"/>
        </w:rPr>
        <w:t>Reframe blame into need: from ‘he never pays’ to ‘predictable, on-time support matters to you.’</w:t>
      </w:r>
    </w:p>
    <w:p>
      <w:pPr>
        <w:pStyle w:val="ListBullet"/>
        <w:spacing w:after="60"/>
        <w:jc w:val="both"/>
      </w:pPr>
      <w:r>
        <w:rPr>
          <w:rFonts w:ascii="Calibri" w:hAnsi="Calibri"/>
          <w:b w:val="0"/>
          <w:i w:val="0"/>
          <w:color w:val="1B2A32"/>
          <w:sz w:val="21"/>
        </w:rPr>
        <w:t>Future-focus: “A year from now, what would a good arrangement look like?”</w:t>
      </w:r>
    </w:p>
    <w:p>
      <w:pPr>
        <w:keepNext/>
        <w:spacing w:before="200" w:after="60"/>
      </w:pPr>
      <w:r>
        <w:rPr>
          <w:rFonts w:ascii="Calibri" w:hAnsi="Calibri"/>
          <w:b/>
          <w:i w:val="0"/>
          <w:color w:val="1E7A8C"/>
          <w:sz w:val="26"/>
        </w:rPr>
        <w:t>1.4 Private caucus</w:t>
      </w:r>
    </w:p>
    <w:p>
      <w:pPr>
        <w:spacing w:after="120"/>
        <w:jc w:val="both"/>
      </w:pPr>
      <w:r>
        <w:rPr>
          <w:rFonts w:ascii="Calibri" w:hAnsi="Calibri"/>
          <w:b w:val="0"/>
          <w:i w:val="0"/>
          <w:color w:val="1B2A32"/>
          <w:sz w:val="21"/>
        </w:rPr>
        <w:t>Meet each party separately to explore fears, test options and defuse emotion. State the confidentiality of caucus clearly:</w:t>
      </w:r>
    </w:p>
    <w:p>
      <w:pPr>
        <w:spacing w:after="100"/>
        <w:ind w:left="360"/>
      </w:pPr>
      <w:r>
        <w:rPr>
          <w:rFonts w:ascii="Calibri" w:hAnsi="Calibri"/>
          <w:b w:val="0"/>
          <w:i/>
          <w:color w:val="1B2A32"/>
          <w:sz w:val="21"/>
        </w:rPr>
        <w:t>“What you tell me in this private session stays with me unless you give me permission to share it. Use this time to be candid about what you really need and what you could live with.”</w:t>
      </w:r>
    </w:p>
    <w:p>
      <w:pPr>
        <w:keepNext/>
        <w:spacing w:before="200" w:after="60"/>
      </w:pPr>
      <w:r>
        <w:rPr>
          <w:rFonts w:ascii="Calibri" w:hAnsi="Calibri"/>
          <w:b/>
          <w:i w:val="0"/>
          <w:color w:val="1E7A8C"/>
          <w:sz w:val="26"/>
        </w:rPr>
        <w:t>1.5 Breaking impasse</w:t>
      </w:r>
    </w:p>
    <w:p>
      <w:pPr>
        <w:pStyle w:val="ListBullet"/>
        <w:spacing w:after="60"/>
        <w:jc w:val="both"/>
      </w:pPr>
      <w:r>
        <w:rPr>
          <w:rFonts w:ascii="Calibri" w:hAnsi="Calibri"/>
          <w:b w:val="0"/>
          <w:i w:val="0"/>
          <w:color w:val="1B2A32"/>
          <w:sz w:val="21"/>
        </w:rPr>
        <w:t>Narrow the gap: isolate the one issue blocking agreement and park the rest as agreed.</w:t>
      </w:r>
    </w:p>
    <w:p>
      <w:pPr>
        <w:pStyle w:val="ListBullet"/>
        <w:spacing w:after="60"/>
        <w:jc w:val="both"/>
      </w:pPr>
      <w:r>
        <w:rPr>
          <w:rFonts w:ascii="Calibri" w:hAnsi="Calibri"/>
          <w:b w:val="0"/>
          <w:i w:val="0"/>
          <w:color w:val="1B2A32"/>
          <w:sz w:val="21"/>
        </w:rPr>
        <w:t>Split or stage: instalments, escrow milestones, or a review date can bridge a trust gap.</w:t>
      </w:r>
    </w:p>
    <w:p>
      <w:pPr>
        <w:pStyle w:val="ListBullet"/>
        <w:spacing w:after="60"/>
        <w:jc w:val="both"/>
      </w:pPr>
      <w:r>
        <w:rPr>
          <w:rFonts w:ascii="Calibri" w:hAnsi="Calibri"/>
          <w:b w:val="0"/>
          <w:i w:val="0"/>
          <w:color w:val="1B2A32"/>
          <w:sz w:val="21"/>
        </w:rPr>
        <w:t>Objective criteria: use the Rajnesh v. Neha factors for maintenance to depersonalise the number.</w:t>
      </w:r>
    </w:p>
    <w:p>
      <w:pPr>
        <w:pStyle w:val="ListBullet"/>
        <w:spacing w:after="60"/>
        <w:jc w:val="both"/>
      </w:pPr>
      <w:r>
        <w:rPr>
          <w:rFonts w:ascii="Calibri" w:hAnsi="Calibri"/>
          <w:b w:val="0"/>
          <w:i w:val="0"/>
          <w:color w:val="1B2A32"/>
          <w:sz w:val="21"/>
        </w:rPr>
        <w:t>The children's lens: ask each parent what the child would want them to sort out first.</w:t>
      </w:r>
    </w:p>
    <w:p>
      <w:pPr>
        <w:pStyle w:val="ListBullet"/>
        <w:spacing w:after="60"/>
        <w:jc w:val="both"/>
      </w:pPr>
      <w:r>
        <w:rPr>
          <w:rFonts w:ascii="Calibri" w:hAnsi="Calibri"/>
          <w:b w:val="0"/>
          <w:i w:val="0"/>
          <w:color w:val="1B2A32"/>
          <w:sz w:val="21"/>
        </w:rPr>
        <w:t>Doubt cost of no-deal: revisit the time, money and exposure of continued litigation.</w:t>
      </w:r>
    </w:p>
    <w:p>
      <w:pPr>
        <w:pStyle w:val="ListBullet"/>
        <w:spacing w:after="60"/>
        <w:jc w:val="both"/>
      </w:pPr>
      <w:r>
        <w:rPr>
          <w:rFonts w:ascii="Calibri" w:hAnsi="Calibri"/>
          <w:b w:val="0"/>
          <w:i w:val="0"/>
          <w:color w:val="1B2A32"/>
          <w:sz w:val="21"/>
        </w:rPr>
        <w:t>Take a break: emotion, not logic, usually causes impasse — pause and resume.</w:t>
      </w:r>
    </w:p>
    <w:p>
      <w:pPr>
        <w:keepNext/>
        <w:spacing w:before="200" w:after="60"/>
      </w:pPr>
      <w:r>
        <w:rPr>
          <w:rFonts w:ascii="Calibri" w:hAnsi="Calibri"/>
          <w:b/>
          <w:i w:val="0"/>
          <w:color w:val="1E7A8C"/>
          <w:sz w:val="26"/>
        </w:rPr>
        <w:t>1.6 Moving to settlement</w:t>
      </w:r>
    </w:p>
    <w:p>
      <w:pPr>
        <w:spacing w:after="120"/>
        <w:jc w:val="both"/>
      </w:pPr>
      <w:r>
        <w:rPr>
          <w:rFonts w:ascii="Calibri" w:hAnsi="Calibri"/>
          <w:b w:val="0"/>
          <w:i w:val="0"/>
          <w:color w:val="1B2A32"/>
          <w:sz w:val="21"/>
        </w:rPr>
        <w:t>When terms converge, summarise them back neutrally, confirm free consent, and move to drafting the Mediated Settlement Agreement (Form F-10), the Parenting Plan (F-17), the escrow instruction (F-11) and, where needed, the criminal-closure memo (F-12). Read the terms aloud; confirm each party understands and agrees without pressure.</w:t>
      </w:r>
    </w:p>
    <w:p>
      <w:pPr>
        <w:keepNext/>
        <w:spacing w:before="280" w:after="120"/>
        <w:pBdr>
          <w:bottom w:val="single" w:sz="12" w:space="3" w:color="C6A15B"/>
        </w:pBdr>
      </w:pPr>
      <w:r>
        <w:rPr>
          <w:rFonts w:ascii="Calibri" w:hAnsi="Calibri"/>
          <w:b/>
          <w:i w:val="0"/>
          <w:color w:val="123B4F"/>
          <w:sz w:val="34"/>
        </w:rPr>
        <w:t>Part 2 — Standard Operating Procedures (Runbooks)</w:t>
      </w:r>
    </w:p>
    <w:p>
      <w:pPr>
        <w:keepNext/>
        <w:spacing w:before="200" w:after="60"/>
      </w:pPr>
      <w:r>
        <w:rPr>
          <w:rFonts w:ascii="Calibri" w:hAnsi="Calibri"/>
          <w:b/>
          <w:i w:val="0"/>
          <w:color w:val="1E7A8C"/>
          <w:sz w:val="26"/>
        </w:rPr>
        <w:t>2.1 Case Manager runbook</w:t>
      </w:r>
    </w:p>
    <w:p>
      <w:pPr>
        <w:pStyle w:val="ListNumber"/>
        <w:spacing w:after="60"/>
        <w:jc w:val="both"/>
      </w:pPr>
      <w:r>
        <w:rPr>
          <w:rFonts w:ascii="Calibri" w:hAnsi="Calibri"/>
          <w:b/>
          <w:i w:val="0"/>
          <w:color w:val="1B2A32"/>
          <w:sz w:val="21"/>
        </w:rPr>
        <w:t>Intake &amp; screening:</w:t>
      </w:r>
      <w:r>
        <w:rPr>
          <w:rFonts w:ascii="Calibri" w:hAnsi="Calibri"/>
          <w:b w:val="0"/>
          <w:i w:val="0"/>
          <w:color w:val="1B2A32"/>
          <w:sz w:val="21"/>
        </w:rPr>
        <w:t xml:space="preserve"> verify KYC and DPDP consent (F-01); run the suitability triage and safety screen; classify by regime and issue; assign a case number (EQ/FAM/CITY/YYYY/NNNNN).</w:t>
      </w:r>
    </w:p>
    <w:p>
      <w:pPr>
        <w:pStyle w:val="ListNumber"/>
        <w:spacing w:after="60"/>
        <w:jc w:val="both"/>
      </w:pPr>
      <w:r>
        <w:rPr>
          <w:rFonts w:ascii="Calibri" w:hAnsi="Calibri"/>
          <w:b/>
          <w:i w:val="0"/>
          <w:color w:val="1B2A32"/>
          <w:sz w:val="21"/>
        </w:rPr>
        <w:t>Notice:</w:t>
      </w:r>
      <w:r>
        <w:rPr>
          <w:rFonts w:ascii="Calibri" w:hAnsi="Calibri"/>
          <w:b w:val="0"/>
          <w:i w:val="0"/>
          <w:color w:val="1B2A32"/>
          <w:sz w:val="21"/>
        </w:rPr>
        <w:t xml:space="preserve"> serve the Notice (F-03) on the respondent within 3 working days via the applicant's stated channels; log service; start the 14-day response clock.</w:t>
      </w:r>
    </w:p>
    <w:p>
      <w:pPr>
        <w:pStyle w:val="ListNumber"/>
        <w:spacing w:after="60"/>
        <w:jc w:val="both"/>
      </w:pPr>
      <w:r>
        <w:rPr>
          <w:rFonts w:ascii="Calibri" w:hAnsi="Calibri"/>
          <w:b/>
          <w:i w:val="0"/>
          <w:color w:val="1B2A32"/>
          <w:sz w:val="21"/>
        </w:rPr>
        <w:t>Response:</w:t>
      </w:r>
      <w:r>
        <w:rPr>
          <w:rFonts w:ascii="Calibri" w:hAnsi="Calibri"/>
          <w:b w:val="0"/>
          <w:i w:val="0"/>
          <w:color w:val="1B2A32"/>
          <w:sz w:val="21"/>
        </w:rPr>
        <w:t xml:space="preserve"> on acceptance (F-04) proceed; on refusal/silence issue the Non-commencement Report (F-14).</w:t>
      </w:r>
    </w:p>
    <w:p>
      <w:pPr>
        <w:pStyle w:val="ListNumber"/>
        <w:spacing w:after="60"/>
        <w:jc w:val="both"/>
      </w:pPr>
      <w:r>
        <w:rPr>
          <w:rFonts w:ascii="Calibri" w:hAnsi="Calibri"/>
          <w:b/>
          <w:i w:val="0"/>
          <w:color w:val="1B2A32"/>
          <w:sz w:val="21"/>
        </w:rPr>
        <w:t>Mediator appointment:</w:t>
      </w:r>
      <w:r>
        <w:rPr>
          <w:rFonts w:ascii="Calibri" w:hAnsi="Calibri"/>
          <w:b w:val="0"/>
          <w:i w:val="0"/>
          <w:color w:val="1B2A32"/>
          <w:sz w:val="21"/>
        </w:rPr>
        <w:t xml:space="preserve"> run the panel filter; facilitate selection (F-05); execute the conflict check and obtain the mediator's disclosure (F-06); issue the appointment order within 7 days.</w:t>
      </w:r>
    </w:p>
    <w:p>
      <w:pPr>
        <w:pStyle w:val="ListNumber"/>
        <w:spacing w:after="60"/>
        <w:jc w:val="both"/>
      </w:pPr>
      <w:r>
        <w:rPr>
          <w:rFonts w:ascii="Calibri" w:hAnsi="Calibri"/>
          <w:b/>
          <w:i w:val="0"/>
          <w:color w:val="1B2A32"/>
          <w:sz w:val="21"/>
        </w:rPr>
        <w:t>Pre-mediation:</w:t>
      </w:r>
      <w:r>
        <w:rPr>
          <w:rFonts w:ascii="Calibri" w:hAnsi="Calibri"/>
          <w:b w:val="0"/>
          <w:i w:val="0"/>
          <w:color w:val="1B2A32"/>
          <w:sz w:val="21"/>
        </w:rPr>
        <w:t xml:space="preserve"> schedule orientation; assemble the document bundle; record any interim arrangements (F-08); set the session calendar inside the statutory clock.</w:t>
      </w:r>
    </w:p>
    <w:p>
      <w:pPr>
        <w:pStyle w:val="ListNumber"/>
        <w:spacing w:after="60"/>
        <w:jc w:val="both"/>
      </w:pPr>
      <w:r>
        <w:rPr>
          <w:rFonts w:ascii="Calibri" w:hAnsi="Calibri"/>
          <w:b/>
          <w:i w:val="0"/>
          <w:color w:val="1B2A32"/>
          <w:sz w:val="21"/>
        </w:rPr>
        <w:t>Sessions:</w:t>
      </w:r>
      <w:r>
        <w:rPr>
          <w:rFonts w:ascii="Calibri" w:hAnsi="Calibri"/>
          <w:b w:val="0"/>
          <w:i w:val="0"/>
          <w:color w:val="1B2A32"/>
          <w:sz w:val="21"/>
        </w:rPr>
        <w:t xml:space="preserve"> convene joint/caucus sessions; maintain the confidentiality wall (no caucus notes shared); log attendance and timelines; file any extension (F-13).</w:t>
      </w:r>
    </w:p>
    <w:p>
      <w:pPr>
        <w:pStyle w:val="ListNumber"/>
        <w:spacing w:after="60"/>
        <w:jc w:val="both"/>
      </w:pPr>
      <w:r>
        <w:rPr>
          <w:rFonts w:ascii="Calibri" w:hAnsi="Calibri"/>
          <w:b/>
          <w:i w:val="0"/>
          <w:color w:val="1B2A32"/>
          <w:sz w:val="21"/>
        </w:rPr>
        <w:t>Settlement:</w:t>
      </w:r>
      <w:r>
        <w:rPr>
          <w:rFonts w:ascii="Calibri" w:hAnsi="Calibri"/>
          <w:b w:val="0"/>
          <w:i w:val="0"/>
          <w:color w:val="1B2A32"/>
          <w:sz w:val="21"/>
        </w:rPr>
        <w:t xml:space="preserve"> support MSA drafting and e-signature/authentication (F-10); set up escrow (F-11) and the criminal-closure sequence (F-12).</w:t>
      </w:r>
    </w:p>
    <w:p>
      <w:pPr>
        <w:pStyle w:val="ListNumber"/>
        <w:spacing w:after="60"/>
        <w:jc w:val="both"/>
      </w:pPr>
      <w:r>
        <w:rPr>
          <w:rFonts w:ascii="Calibri" w:hAnsi="Calibri"/>
          <w:b/>
          <w:i w:val="0"/>
          <w:color w:val="1B2A32"/>
          <w:sz w:val="21"/>
        </w:rPr>
        <w:t>Closure:</w:t>
      </w:r>
      <w:r>
        <w:rPr>
          <w:rFonts w:ascii="Calibri" w:hAnsi="Calibri"/>
          <w:b w:val="0"/>
          <w:i w:val="0"/>
          <w:color w:val="1B2A32"/>
          <w:sz w:val="21"/>
        </w:rPr>
        <w:t xml:space="preserve"> trigger escrow release on milestones; coordinate quashing/registration; issue the Closure Report (F-15); archive per the retention schedule.</w:t>
      </w:r>
    </w:p>
    <w:p>
      <w:pPr>
        <w:keepNext/>
        <w:spacing w:before="200" w:after="60"/>
      </w:pPr>
      <w:r>
        <w:rPr>
          <w:rFonts w:ascii="Calibri" w:hAnsi="Calibri"/>
          <w:b/>
          <w:i w:val="0"/>
          <w:color w:val="1E7A8C"/>
          <w:sz w:val="26"/>
        </w:rPr>
        <w:t>2.2 Escrow Officer runbook</w:t>
      </w:r>
    </w:p>
    <w:p>
      <w:pPr>
        <w:pStyle w:val="ListNumber"/>
        <w:spacing w:after="60"/>
        <w:jc w:val="both"/>
      </w:pPr>
      <w:r>
        <w:rPr>
          <w:rFonts w:ascii="Calibri" w:hAnsi="Calibri"/>
          <w:b w:val="0"/>
          <w:i w:val="0"/>
          <w:color w:val="1B2A32"/>
          <w:sz w:val="21"/>
        </w:rPr>
        <w:t>Confirm the escrow instruction (F-11), the agent bank, amount and source of funds; complete KYC/PMLA checks.</w:t>
      </w:r>
    </w:p>
    <w:p>
      <w:pPr>
        <w:pStyle w:val="ListNumber"/>
        <w:spacing w:after="60"/>
        <w:jc w:val="both"/>
      </w:pPr>
      <w:r>
        <w:rPr>
          <w:rFonts w:ascii="Calibri" w:hAnsi="Calibri"/>
          <w:b w:val="0"/>
          <w:i w:val="0"/>
          <w:color w:val="1B2A32"/>
          <w:sz w:val="21"/>
        </w:rPr>
        <w:t>Confirm cleared deposit to both parties in writing.</w:t>
      </w:r>
    </w:p>
    <w:p>
      <w:pPr>
        <w:pStyle w:val="ListNumber"/>
        <w:spacing w:after="60"/>
        <w:jc w:val="both"/>
      </w:pPr>
      <w:r>
        <w:rPr>
          <w:rFonts w:ascii="Calibri" w:hAnsi="Calibri"/>
          <w:b w:val="0"/>
          <w:i w:val="0"/>
          <w:color w:val="1B2A32"/>
          <w:sz w:val="21"/>
        </w:rPr>
        <w:t>Hold funds; monitor milestones (first motion / FIR withdrawal-quashing / decree / handover).</w:t>
      </w:r>
    </w:p>
    <w:p>
      <w:pPr>
        <w:pStyle w:val="ListNumber"/>
        <w:spacing w:after="60"/>
        <w:jc w:val="both"/>
      </w:pPr>
      <w:r>
        <w:rPr>
          <w:rFonts w:ascii="Calibri" w:hAnsi="Calibri"/>
          <w:b w:val="0"/>
          <w:i w:val="0"/>
          <w:color w:val="1B2A32"/>
          <w:sz w:val="21"/>
        </w:rPr>
        <w:t>Release each tranche only on documentary proof of the milestone; issue a receipt and audit-log every movement.</w:t>
      </w:r>
    </w:p>
    <w:p>
      <w:pPr>
        <w:pStyle w:val="ListNumber"/>
        <w:spacing w:after="60"/>
        <w:jc w:val="both"/>
      </w:pPr>
      <w:r>
        <w:rPr>
          <w:rFonts w:ascii="Calibri" w:hAnsi="Calibri"/>
          <w:b w:val="0"/>
          <w:i w:val="0"/>
          <w:color w:val="1B2A32"/>
          <w:sz w:val="21"/>
        </w:rPr>
        <w:t>If a milestone lapses by the agreed date, apply the fallback (continue holding / refund / defined dispute step).</w:t>
      </w:r>
    </w:p>
    <w:p>
      <w:pPr>
        <w:keepNext/>
        <w:spacing w:before="200" w:after="60"/>
      </w:pPr>
      <w:r>
        <w:rPr>
          <w:rFonts w:ascii="Calibri" w:hAnsi="Calibri"/>
          <w:b/>
          <w:i w:val="0"/>
          <w:color w:val="1E7A8C"/>
          <w:sz w:val="26"/>
        </w:rPr>
        <w:t>2.3 Notice &amp; service runbook</w:t>
      </w:r>
    </w:p>
    <w:p>
      <w:pPr>
        <w:pStyle w:val="ListBullet"/>
        <w:spacing w:after="60"/>
        <w:jc w:val="both"/>
      </w:pPr>
      <w:r>
        <w:rPr>
          <w:rFonts w:ascii="Calibri" w:hAnsi="Calibri"/>
          <w:b w:val="0"/>
          <w:i w:val="0"/>
          <w:color w:val="1B2A32"/>
          <w:sz w:val="21"/>
        </w:rPr>
        <w:t>Serve via the applicant's provided email, SMS and WhatsApp; where required, arrange physical/process service.</w:t>
      </w:r>
    </w:p>
    <w:p>
      <w:pPr>
        <w:pStyle w:val="ListBullet"/>
        <w:spacing w:after="60"/>
        <w:jc w:val="both"/>
      </w:pPr>
      <w:r>
        <w:rPr>
          <w:rFonts w:ascii="Calibri" w:hAnsi="Calibri"/>
          <w:b w:val="0"/>
          <w:i w:val="0"/>
          <w:color w:val="1B2A32"/>
          <w:sz w:val="21"/>
        </w:rPr>
        <w:t>For NRIs, use email + the last known address and, where needed, consular routes; verify identity by video.</w:t>
      </w:r>
    </w:p>
    <w:p>
      <w:pPr>
        <w:pStyle w:val="ListBullet"/>
        <w:spacing w:after="60"/>
        <w:jc w:val="both"/>
      </w:pPr>
      <w:r>
        <w:rPr>
          <w:rFonts w:ascii="Calibri" w:hAnsi="Calibri"/>
          <w:b w:val="0"/>
          <w:i w:val="0"/>
          <w:color w:val="1B2A32"/>
          <w:sz w:val="21"/>
        </w:rPr>
        <w:t>Record date, channel and delivery status; a second attempt after 7 days before issuing F-14.</w:t>
      </w:r>
    </w:p>
    <w:p>
      <w:pPr>
        <w:keepNext/>
        <w:spacing w:before="280" w:after="120"/>
        <w:pBdr>
          <w:bottom w:val="single" w:sz="12" w:space="3" w:color="C6A15B"/>
        </w:pBdr>
      </w:pPr>
      <w:r>
        <w:rPr>
          <w:rFonts w:ascii="Calibri" w:hAnsi="Calibri"/>
          <w:b/>
          <w:i w:val="0"/>
          <w:color w:val="123B4F"/>
          <w:sz w:val="34"/>
        </w:rPr>
        <w:t>Part 3 — Ethics in Practice (Worked Scenarios)</w:t>
      </w:r>
    </w:p>
    <w:tbl>
      <w:tblPr>
        <w:tblW w:type="auto" w:w="0"/>
        <w:tblLook w:firstColumn="1" w:firstRow="1" w:lastColumn="0" w:lastRow="0" w:noHBand="0" w:noVBand="1" w:val="04A0"/>
      </w:tblPr>
      <w:tblGrid>
        <w:gridCol w:w="9648"/>
      </w:tblGrid>
      <w:tr>
        <w:tc>
          <w:tcPr>
            <w:tcW w:type="dxa" w:w="9648"/>
            <w:shd w:val="clear" w:fill="F5ECD6"/>
            <w:tcBorders>
              <w:start w:val="single" w:sz="22" w:space="0" w:color="C6A15B"/>
            </w:tcBorders>
          </w:tcPr>
          <w:p>
            <w:r>
              <w:rPr>
                <w:rFonts w:ascii="Calibri" w:hAnsi="Calibri"/>
                <w:b/>
                <w:i w:val="0"/>
                <w:color w:val="123B4F"/>
                <w:sz w:val="18"/>
              </w:rPr>
              <w:t>SCENARIO — Hidden assets</w:t>
            </w:r>
          </w:p>
          <w:p>
            <w:r>
              <w:rPr>
                <w:rFonts w:ascii="Calibri" w:hAnsi="Calibri"/>
                <w:b w:val="0"/>
                <w:i w:val="0"/>
                <w:color w:val="1B2A32"/>
                <w:sz w:val="19"/>
              </w:rPr>
              <w:t>In caucus a party admits to an undisclosed account. Do not breach the caucus confidence, but do not let the mediation bless a settlement built on a lie: encourage voluntary disclosure, reality-test fairness, and withdraw rather than lend the process to a fraud (a s.28 challenge ground).</w:t>
            </w:r>
          </w:p>
        </w:tc>
      </w:tr>
    </w:tbl>
    <w:p>
      <w:pPr>
        <w:spacing w:after="40"/>
      </w:pPr>
    </w:p>
    <w:tbl>
      <w:tblPr>
        <w:tblW w:type="auto" w:w="0"/>
        <w:tblLook w:firstColumn="1" w:firstRow="1" w:lastColumn="0" w:lastRow="0" w:noHBand="0" w:noVBand="1" w:val="04A0"/>
      </w:tblPr>
      <w:tblGrid>
        <w:gridCol w:w="9648"/>
      </w:tblGrid>
      <w:tr>
        <w:tc>
          <w:tcPr>
            <w:tcW w:type="dxa" w:w="9648"/>
            <w:shd w:val="clear" w:fill="F6E0E4"/>
            <w:tcBorders>
              <w:start w:val="single" w:sz="22" w:space="0" w:color="B23A48"/>
            </w:tcBorders>
          </w:tcPr>
          <w:p>
            <w:r>
              <w:rPr>
                <w:rFonts w:ascii="Calibri" w:hAnsi="Calibri"/>
                <w:b/>
                <w:i w:val="0"/>
                <w:color w:val="B23A48"/>
                <w:sz w:val="18"/>
              </w:rPr>
              <w:t>SCENARIO — Abuse surfaces</w:t>
            </w:r>
          </w:p>
          <w:p>
            <w:r>
              <w:rPr>
                <w:rFonts w:ascii="Calibri" w:hAnsi="Calibri"/>
                <w:b w:val="0"/>
                <w:i w:val="0"/>
                <w:color w:val="1B2A32"/>
                <w:sz w:val="19"/>
              </w:rPr>
              <w:t>Violence or a safety threat emerges. Confidentiality does not protect it. Invoke the safety protocol: separate the parties, shuttle only, and refer to a Protection Officer. Safety over settlement.</w:t>
            </w:r>
          </w:p>
        </w:tc>
      </w:tr>
    </w:tbl>
    <w:p>
      <w:pPr>
        <w:spacing w:after="40"/>
      </w:pPr>
    </w:p>
    <w:tbl>
      <w:tblPr>
        <w:tblW w:type="auto" w:w="0"/>
        <w:tblLook w:firstColumn="1" w:firstRow="1" w:lastColumn="0" w:lastRow="0" w:noHBand="0" w:noVBand="1" w:val="04A0"/>
      </w:tblPr>
      <w:tblGrid>
        <w:gridCol w:w="9648"/>
      </w:tblGrid>
      <w:tr>
        <w:tc>
          <w:tcPr>
            <w:tcW w:type="dxa" w:w="9648"/>
            <w:shd w:val="clear" w:fill="F5ECD6"/>
            <w:tcBorders>
              <w:start w:val="single" w:sz="22" w:space="0" w:color="C6A15B"/>
            </w:tcBorders>
          </w:tcPr>
          <w:p>
            <w:r>
              <w:rPr>
                <w:rFonts w:ascii="Calibri" w:hAnsi="Calibri"/>
                <w:b/>
                <w:i w:val="0"/>
                <w:color w:val="123B4F"/>
                <w:sz w:val="18"/>
              </w:rPr>
              <w:t>SCENARIO — Coercion</w:t>
            </w:r>
          </w:p>
          <w:p>
            <w:r>
              <w:rPr>
                <w:rFonts w:ascii="Calibri" w:hAnsi="Calibri"/>
                <w:b w:val="0"/>
                <w:i w:val="0"/>
                <w:color w:val="1B2A32"/>
                <w:sz w:val="19"/>
              </w:rPr>
              <w:t>A relative or lawyer is pressuring a party. Use private caucus to test genuine voluntariness; pause or terminate if consent is not free.</w:t>
            </w:r>
          </w:p>
        </w:tc>
      </w:tr>
    </w:tbl>
    <w:p>
      <w:pPr>
        <w:spacing w:after="40"/>
      </w:pPr>
    </w:p>
    <w:tbl>
      <w:tblPr>
        <w:tblW w:type="auto" w:w="0"/>
        <w:tblLook w:firstColumn="1" w:firstRow="1" w:lastColumn="0" w:lastRow="0" w:noHBand="0" w:noVBand="1" w:val="04A0"/>
      </w:tblPr>
      <w:tblGrid>
        <w:gridCol w:w="9648"/>
      </w:tblGrid>
      <w:tr>
        <w:tc>
          <w:tcPr>
            <w:tcW w:type="dxa" w:w="9648"/>
            <w:shd w:val="clear" w:fill="F5ECD6"/>
            <w:tcBorders>
              <w:start w:val="single" w:sz="22" w:space="0" w:color="C6A15B"/>
            </w:tcBorders>
          </w:tcPr>
          <w:p>
            <w:r>
              <w:rPr>
                <w:rFonts w:ascii="Calibri" w:hAnsi="Calibri"/>
                <w:b/>
                <w:i w:val="0"/>
                <w:color w:val="123B4F"/>
                <w:sz w:val="18"/>
              </w:rPr>
              <w:t>SCENARIO — Request for advice</w:t>
            </w:r>
          </w:p>
          <w:p>
            <w:r>
              <w:rPr>
                <w:rFonts w:ascii="Calibri" w:hAnsi="Calibri"/>
                <w:b w:val="0"/>
                <w:i w:val="0"/>
                <w:color w:val="1B2A32"/>
                <w:sz w:val="19"/>
              </w:rPr>
              <w:t>A party asks ‘what should I accept?’ Reframe, give no legal advice, and direct them to independent counsel.</w:t>
            </w:r>
          </w:p>
        </w:tc>
      </w:tr>
    </w:tbl>
    <w:p>
      <w:pPr>
        <w:spacing w:after="40"/>
      </w:pPr>
    </w:p>
    <w:tbl>
      <w:tblPr>
        <w:tblW w:type="auto" w:w="0"/>
        <w:tblLook w:firstColumn="1" w:firstRow="1" w:lastColumn="0" w:lastRow="0" w:noHBand="0" w:noVBand="1" w:val="04A0"/>
      </w:tblPr>
      <w:tblGrid>
        <w:gridCol w:w="9648"/>
      </w:tblGrid>
      <w:tr>
        <w:tc>
          <w:tcPr>
            <w:tcW w:type="dxa" w:w="9648"/>
            <w:shd w:val="clear" w:fill="DCEEE4"/>
            <w:tcBorders>
              <w:start w:val="single" w:sz="22" w:space="0" w:color="2E7D5B"/>
            </w:tcBorders>
          </w:tcPr>
          <w:p>
            <w:r>
              <w:rPr>
                <w:rFonts w:ascii="Calibri" w:hAnsi="Calibri"/>
                <w:b/>
                <w:i w:val="0"/>
                <w:color w:val="2E7D5B"/>
                <w:sz w:val="18"/>
              </w:rPr>
              <w:t>SCENARIO — A term that harms a child</w:t>
            </w:r>
          </w:p>
          <w:p>
            <w:r>
              <w:rPr>
                <w:rFonts w:ascii="Calibri" w:hAnsi="Calibri"/>
                <w:b w:val="0"/>
                <w:i w:val="0"/>
                <w:color w:val="1B2A32"/>
                <w:sz w:val="19"/>
              </w:rPr>
              <w:t>Parents trade custody against money. Refuse to record a plan that is not child-centred; the child's welfare is paramount.</w:t>
            </w:r>
          </w:p>
        </w:tc>
      </w:tr>
    </w:tbl>
    <w:p>
      <w:pPr>
        <w:spacing w:after="40"/>
      </w:pPr>
    </w:p>
    <w:p>
      <w:pPr>
        <w:keepNext/>
        <w:spacing w:before="280" w:after="120"/>
        <w:pBdr>
          <w:bottom w:val="single" w:sz="12" w:space="3" w:color="C6A15B"/>
        </w:pBdr>
      </w:pPr>
      <w:r>
        <w:rPr>
          <w:rFonts w:ascii="Calibri" w:hAnsi="Calibri"/>
          <w:b/>
          <w:i w:val="0"/>
          <w:color w:val="123B4F"/>
          <w:sz w:val="34"/>
        </w:rPr>
        <w:t>Part 4 — Checklists</w:t>
      </w:r>
    </w:p>
    <w:p>
      <w:pPr>
        <w:keepNext/>
        <w:spacing w:before="200" w:after="60"/>
      </w:pPr>
      <w:r>
        <w:rPr>
          <w:rFonts w:ascii="Calibri" w:hAnsi="Calibri"/>
          <w:b/>
          <w:i w:val="0"/>
          <w:color w:val="1E7A8C"/>
          <w:sz w:val="26"/>
        </w:rPr>
        <w:t>Pre-session checklist</w:t>
      </w:r>
    </w:p>
    <w:p>
      <w:pPr>
        <w:pStyle w:val="ListBullet"/>
        <w:spacing w:after="60"/>
        <w:jc w:val="both"/>
      </w:pPr>
      <w:r>
        <w:rPr>
          <w:rFonts w:ascii="Calibri" w:hAnsi="Calibri"/>
          <w:b w:val="0"/>
          <w:i w:val="0"/>
          <w:color w:val="1B2A32"/>
          <w:sz w:val="21"/>
        </w:rPr>
        <w:t>KYC &amp; DPDP consent on file</w:t>
      </w:r>
    </w:p>
    <w:p>
      <w:pPr>
        <w:pStyle w:val="ListBullet"/>
        <w:spacing w:after="60"/>
        <w:jc w:val="both"/>
      </w:pPr>
      <w:r>
        <w:rPr>
          <w:rFonts w:ascii="Calibri" w:hAnsi="Calibri"/>
          <w:b w:val="0"/>
          <w:i w:val="0"/>
          <w:color w:val="1B2A32"/>
          <w:sz w:val="21"/>
        </w:rPr>
        <w:t>Suitability triage &amp; safety screen complete</w:t>
      </w:r>
    </w:p>
    <w:p>
      <w:pPr>
        <w:pStyle w:val="ListBullet"/>
        <w:spacing w:after="60"/>
        <w:jc w:val="both"/>
      </w:pPr>
      <w:r>
        <w:rPr>
          <w:rFonts w:ascii="Calibri" w:hAnsi="Calibri"/>
          <w:b w:val="0"/>
          <w:i w:val="0"/>
          <w:color w:val="1B2A32"/>
          <w:sz w:val="21"/>
        </w:rPr>
        <w:t>Document bundle assembled</w:t>
      </w:r>
    </w:p>
    <w:p>
      <w:pPr>
        <w:pStyle w:val="ListBullet"/>
        <w:spacing w:after="60"/>
        <w:jc w:val="both"/>
      </w:pPr>
      <w:r>
        <w:rPr>
          <w:rFonts w:ascii="Calibri" w:hAnsi="Calibri"/>
          <w:b w:val="0"/>
          <w:i w:val="0"/>
          <w:color w:val="1B2A32"/>
          <w:sz w:val="21"/>
        </w:rPr>
        <w:t>Conflict check cleared &amp; disclosure signed</w:t>
      </w:r>
    </w:p>
    <w:p>
      <w:pPr>
        <w:pStyle w:val="ListBullet"/>
        <w:spacing w:after="60"/>
        <w:jc w:val="both"/>
      </w:pPr>
      <w:r>
        <w:rPr>
          <w:rFonts w:ascii="Calibri" w:hAnsi="Calibri"/>
          <w:b w:val="0"/>
          <w:i w:val="0"/>
          <w:color w:val="1B2A32"/>
          <w:sz w:val="21"/>
        </w:rPr>
        <w:t>Session scheduled within the clock</w:t>
      </w:r>
    </w:p>
    <w:p>
      <w:pPr>
        <w:pStyle w:val="ListBullet"/>
        <w:spacing w:after="60"/>
        <w:jc w:val="both"/>
      </w:pPr>
      <w:r>
        <w:rPr>
          <w:rFonts w:ascii="Calibri" w:hAnsi="Calibri"/>
          <w:b w:val="0"/>
          <w:i w:val="0"/>
          <w:color w:val="1B2A32"/>
          <w:sz w:val="21"/>
        </w:rPr>
        <w:t>Interpreter/accessibility arranged if needed</w:t>
      </w:r>
    </w:p>
    <w:p>
      <w:pPr>
        <w:keepNext/>
        <w:spacing w:before="200" w:after="60"/>
      </w:pPr>
      <w:r>
        <w:rPr>
          <w:rFonts w:ascii="Calibri" w:hAnsi="Calibri"/>
          <w:b/>
          <w:i w:val="0"/>
          <w:color w:val="1E7A8C"/>
          <w:sz w:val="26"/>
        </w:rPr>
        <w:t>Safety checklist (every session)</w:t>
      </w:r>
    </w:p>
    <w:p>
      <w:pPr>
        <w:pStyle w:val="ListBullet"/>
        <w:spacing w:after="60"/>
        <w:jc w:val="both"/>
      </w:pPr>
      <w:r>
        <w:rPr>
          <w:rFonts w:ascii="Calibri" w:hAnsi="Calibri"/>
          <w:b w:val="0"/>
          <w:i w:val="0"/>
          <w:color w:val="1B2A32"/>
          <w:sz w:val="21"/>
        </w:rPr>
        <w:t>Any new safety disclosure? If yes, invoke the protocol</w:t>
      </w:r>
    </w:p>
    <w:p>
      <w:pPr>
        <w:pStyle w:val="ListBullet"/>
        <w:spacing w:after="60"/>
        <w:jc w:val="both"/>
      </w:pPr>
      <w:r>
        <w:rPr>
          <w:rFonts w:ascii="Calibri" w:hAnsi="Calibri"/>
          <w:b w:val="0"/>
          <w:i w:val="0"/>
          <w:color w:val="1B2A32"/>
          <w:sz w:val="21"/>
        </w:rPr>
        <w:t>Parties comfortable in the same (virtual) room, or shuttle needed?</w:t>
      </w:r>
    </w:p>
    <w:p>
      <w:pPr>
        <w:pStyle w:val="ListBullet"/>
        <w:spacing w:after="60"/>
        <w:jc w:val="both"/>
      </w:pPr>
      <w:r>
        <w:rPr>
          <w:rFonts w:ascii="Calibri" w:hAnsi="Calibri"/>
          <w:b w:val="0"/>
          <w:i w:val="0"/>
          <w:color w:val="1B2A32"/>
          <w:sz w:val="21"/>
        </w:rPr>
        <w:t>No breach of any protection order</w:t>
      </w:r>
    </w:p>
    <w:p>
      <w:pPr>
        <w:pStyle w:val="ListBullet"/>
        <w:spacing w:after="60"/>
        <w:jc w:val="both"/>
      </w:pPr>
      <w:r>
        <w:rPr>
          <w:rFonts w:ascii="Calibri" w:hAnsi="Calibri"/>
          <w:b w:val="0"/>
          <w:i w:val="0"/>
          <w:color w:val="1B2A32"/>
          <w:sz w:val="21"/>
        </w:rPr>
        <w:t>Escalation contact (Protection Officer / police) at hand</w:t>
      </w:r>
    </w:p>
    <w:p>
      <w:pPr>
        <w:keepNext/>
        <w:spacing w:before="200" w:after="60"/>
      </w:pPr>
      <w:r>
        <w:rPr>
          <w:rFonts w:ascii="Calibri" w:hAnsi="Calibri"/>
          <w:b/>
          <w:i w:val="0"/>
          <w:color w:val="1E7A8C"/>
          <w:sz w:val="26"/>
        </w:rPr>
        <w:t>Closing checklist</w:t>
      </w:r>
    </w:p>
    <w:p>
      <w:pPr>
        <w:pStyle w:val="ListBullet"/>
        <w:spacing w:after="60"/>
        <w:jc w:val="both"/>
      </w:pPr>
      <w:r>
        <w:rPr>
          <w:rFonts w:ascii="Calibri" w:hAnsi="Calibri"/>
          <w:b w:val="0"/>
          <w:i w:val="0"/>
          <w:color w:val="1B2A32"/>
          <w:sz w:val="21"/>
        </w:rPr>
        <w:t>Terms summarised and understood by both</w:t>
      </w:r>
    </w:p>
    <w:p>
      <w:pPr>
        <w:pStyle w:val="ListBullet"/>
        <w:spacing w:after="60"/>
        <w:jc w:val="both"/>
      </w:pPr>
      <w:r>
        <w:rPr>
          <w:rFonts w:ascii="Calibri" w:hAnsi="Calibri"/>
          <w:b w:val="0"/>
          <w:i w:val="0"/>
          <w:color w:val="1B2A32"/>
          <w:sz w:val="21"/>
        </w:rPr>
        <w:t>Free consent confirmed (no coercion)</w:t>
      </w:r>
    </w:p>
    <w:p>
      <w:pPr>
        <w:pStyle w:val="ListBullet"/>
        <w:spacing w:after="60"/>
        <w:jc w:val="both"/>
      </w:pPr>
      <w:r>
        <w:rPr>
          <w:rFonts w:ascii="Calibri" w:hAnsi="Calibri"/>
          <w:b w:val="0"/>
          <w:i w:val="0"/>
          <w:color w:val="1B2A32"/>
          <w:sz w:val="21"/>
        </w:rPr>
        <w:t>MSA, Parenting Plan, escrow &amp; criminal-closure drafted</w:t>
      </w:r>
    </w:p>
    <w:p>
      <w:pPr>
        <w:pStyle w:val="ListBullet"/>
        <w:spacing w:after="60"/>
        <w:jc w:val="both"/>
      </w:pPr>
      <w:r>
        <w:rPr>
          <w:rFonts w:ascii="Calibri" w:hAnsi="Calibri"/>
          <w:b w:val="0"/>
          <w:i w:val="0"/>
          <w:color w:val="1B2A32"/>
          <w:sz w:val="21"/>
        </w:rPr>
        <w:t>Signatures &amp; mediator authentication</w:t>
      </w:r>
    </w:p>
    <w:p>
      <w:pPr>
        <w:pStyle w:val="ListBullet"/>
        <w:spacing w:after="60"/>
        <w:jc w:val="both"/>
      </w:pPr>
      <w:r>
        <w:rPr>
          <w:rFonts w:ascii="Calibri" w:hAnsi="Calibri"/>
          <w:b w:val="0"/>
          <w:i w:val="0"/>
          <w:color w:val="1B2A32"/>
          <w:sz w:val="21"/>
        </w:rPr>
        <w:t>Registration and court steps explained</w:t>
      </w:r>
    </w:p>
    <w:p>
      <w:pPr>
        <w:pStyle w:val="ListBullet"/>
        <w:spacing w:after="60"/>
        <w:jc w:val="both"/>
      </w:pPr>
      <w:r>
        <w:rPr>
          <w:rFonts w:ascii="Calibri" w:hAnsi="Calibri"/>
          <w:b w:val="0"/>
          <w:i w:val="0"/>
          <w:color w:val="1B2A32"/>
          <w:sz w:val="21"/>
        </w:rPr>
        <w:t>Feedback form (F-16) shared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B3EF95E-3695-484E-AA1B-0AF3BC490705}"/>
</file>

<file path=customXml/itemProps3.xml><?xml version="1.0" encoding="utf-8"?>
<ds:datastoreItem xmlns:ds="http://schemas.openxmlformats.org/officeDocument/2006/customXml" ds:itemID="{F015889F-9C48-49D3-881C-A6E1C3476FC1}"/>
</file>

<file path=customXml/itemProps4.xml><?xml version="1.0" encoding="utf-8"?>
<ds:datastoreItem xmlns:ds="http://schemas.openxmlformats.org/officeDocument/2006/customXml" ds:itemID="{A846DFB9-05BF-4F33-A28C-0EF420FD14E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