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Engineering Handoff — Family &amp; Marital vertical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Technical Architecture &amp; Data Specification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System design, data model, sequence flows and API contract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Family &amp; Marital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Purpose &amp; scope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This document specifies the architecture and data model for the Equator family &amp; marital mediation platform. It is the engineering counterpart to the Master Blueprint and is delivered with three machine-readable artefacts: </w:t>
      </w:r>
      <w:r>
        <w:rPr>
          <w:rFonts w:ascii="Calibri" w:hAnsi="Calibri"/>
          <w:b/>
          <w:i w:val="0"/>
          <w:color w:val="1B2A32"/>
          <w:sz w:val="21"/>
        </w:rPr>
        <w:t>`openapi_fam.yaml`</w:t>
      </w:r>
      <w:r>
        <w:rPr>
          <w:rFonts w:ascii="Calibri" w:hAnsi="Calibri"/>
          <w:b w:val="0"/>
          <w:i w:val="0"/>
          <w:color w:val="1B2A32"/>
          <w:sz w:val="21"/>
        </w:rPr>
        <w:t xml:space="preserve"> (the API contract, 23 endpoints), </w:t>
      </w:r>
      <w:r>
        <w:rPr>
          <w:rFonts w:ascii="Calibri" w:hAnsi="Calibri"/>
          <w:b/>
          <w:i w:val="0"/>
          <w:color w:val="1B2A32"/>
          <w:sz w:val="21"/>
        </w:rPr>
        <w:t>`schema_fam.sql`</w:t>
      </w:r>
      <w:r>
        <w:rPr>
          <w:rFonts w:ascii="Calibri" w:hAnsi="Calibri"/>
          <w:b w:val="0"/>
          <w:i w:val="0"/>
          <w:color w:val="1B2A32"/>
          <w:sz w:val="21"/>
        </w:rPr>
        <w:t xml:space="preserve"> (the PostgreSQL DDL, 21 tables), and the </w:t>
      </w:r>
      <w:r>
        <w:rPr>
          <w:rFonts w:ascii="Calibri" w:hAnsi="Calibri"/>
          <w:b/>
          <w:i w:val="0"/>
          <w:color w:val="1B2A32"/>
          <w:sz w:val="21"/>
        </w:rPr>
        <w:t>UI Wireframe Kit</w:t>
      </w:r>
      <w:r>
        <w:rPr>
          <w:rFonts w:ascii="Calibri" w:hAnsi="Calibri"/>
          <w:b w:val="0"/>
          <w:i w:val="0"/>
          <w:color w:val="1B2A32"/>
          <w:sz w:val="21"/>
        </w:rPr>
        <w:t xml:space="preserve">. Design principles: </w:t>
      </w:r>
      <w:r>
        <w:rPr>
          <w:rFonts w:ascii="Calibri" w:hAnsi="Calibri"/>
          <w:b/>
          <w:i w:val="0"/>
          <w:color w:val="1B2A32"/>
          <w:sz w:val="21"/>
        </w:rPr>
        <w:t>safety-first</w:t>
      </w:r>
      <w:r>
        <w:rPr>
          <w:rFonts w:ascii="Calibri" w:hAnsi="Calibri"/>
          <w:b w:val="0"/>
          <w:i w:val="0"/>
          <w:color w:val="1B2A32"/>
          <w:sz w:val="21"/>
        </w:rPr>
        <w:t xml:space="preserve">, </w:t>
      </w:r>
      <w:r>
        <w:rPr>
          <w:rFonts w:ascii="Calibri" w:hAnsi="Calibri"/>
          <w:b/>
          <w:i w:val="0"/>
          <w:color w:val="1B2A32"/>
          <w:sz w:val="21"/>
        </w:rPr>
        <w:t>confidentiality by construction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, </w:t>
      </w:r>
      <w:r>
        <w:rPr>
          <w:rFonts w:ascii="Calibri" w:hAnsi="Calibri"/>
          <w:b/>
          <w:i w:val="0"/>
          <w:color w:val="1B2A32"/>
          <w:sz w:val="21"/>
        </w:rPr>
        <w:t>API-first</w:t>
      </w:r>
      <w:r>
        <w:rPr>
          <w:rFonts w:ascii="Calibri" w:hAnsi="Calibri"/>
          <w:b w:val="0"/>
          <w:i w:val="0"/>
          <w:color w:val="1B2A32"/>
          <w:sz w:val="21"/>
        </w:rPr>
        <w:t xml:space="preserve">, </w:t>
      </w:r>
      <w:r>
        <w:rPr>
          <w:rFonts w:ascii="Calibri" w:hAnsi="Calibri"/>
          <w:b/>
          <w:i w:val="0"/>
          <w:color w:val="1B2A32"/>
          <w:sz w:val="21"/>
        </w:rPr>
        <w:t>auditable</w:t>
      </w:r>
      <w:r>
        <w:rPr>
          <w:rFonts w:ascii="Calibri" w:hAnsi="Calibri"/>
          <w:b w:val="0"/>
          <w:i w:val="0"/>
          <w:color w:val="1B2A32"/>
          <w:sz w:val="21"/>
        </w:rPr>
        <w:t xml:space="preserve">, and </w:t>
      </w:r>
      <w:r>
        <w:rPr>
          <w:rFonts w:ascii="Calibri" w:hAnsi="Calibri"/>
          <w:b/>
          <w:i w:val="0"/>
          <w:color w:val="1B2A32"/>
          <w:sz w:val="21"/>
        </w:rPr>
        <w:t>DPDP-compliant by default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Three non-negotiables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(1) A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safety flag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from screening must technically prevent a joint session being scheduled. (2)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Caucus notes are sealed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— encrypted and never readable across parties (Mediation Act, s.22). (3) Every AI answer carries a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not-advice disclaimer and provenance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; no AI output is final without human review.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Logical architecture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 modular service layer behind an API gateway, serving a web/mobile client, with an AI service and external integrations. Services are independently deployable and communicate over authenticated internal APIs with an event bus for audit and notifications.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1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Service</w:t>
            </w:r>
          </w:p>
        </w:tc>
        <w:tc>
          <w:tcPr>
            <w:tcW w:type="dxa" w:w="460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Responsibility</w:t>
            </w:r>
          </w:p>
        </w:tc>
        <w:tc>
          <w:tcPr>
            <w:tcW w:type="dxa" w:w="273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Key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Identity &amp; KYC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Authentication, party identity, DPDP consent capture and withdrawal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party, consent_record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Case &amp; workflow</w:t>
            </w:r>
          </w:p>
        </w:tc>
        <w:tc>
          <w:tcPr>
            <w:tcW w:type="dxa" w:w="460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Case lifecycle, state machine, SLAs, case numbering</w:t>
            </w:r>
          </w:p>
        </w:tc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mediation_case, case_party, case_sla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Screening &amp; safety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Confidential per-party screening; safety flag; safeguards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screening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Panel &amp; appointment</w:t>
            </w:r>
          </w:p>
        </w:tc>
        <w:tc>
          <w:tcPr>
            <w:tcW w:type="dxa" w:w="460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Neutral roster, filters, conflict checks, disclosures, challenges</w:t>
            </w:r>
          </w:p>
        </w:tc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neutral, appointment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Sessions &amp; case room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Scheduling, video, joint/caucus/shuttle modes, sealed notes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session, caucus_note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Documents</w:t>
            </w:r>
          </w:p>
        </w:tc>
        <w:tc>
          <w:tcPr>
            <w:tcW w:type="dxa" w:w="460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Form rendering, versioning, hashing, e-Sign and e-Stamp orchestration</w:t>
            </w:r>
          </w:p>
        </w:tc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document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Settlement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MSA assembly, s.20 registration, obligations &amp; compliance tracking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settlement, settlement_obligation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Escrow &amp; payments</w:t>
            </w:r>
          </w:p>
        </w:tc>
        <w:tc>
          <w:tcPr>
            <w:tcW w:type="dxa" w:w="460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Escrow instructions, milestone release, reconciliation</w:t>
            </w:r>
          </w:p>
        </w:tc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escrow, escrow_milestone, payment_txn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Court interface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Referral linkage (s.89 CPC / Family Courts Act), report filing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court_referral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AI service</w:t>
            </w:r>
          </w:p>
        </w:tc>
        <w:tc>
          <w:tcPr>
            <w:tcW w:type="dxa" w:w="460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RAG retrieval, route/rights answers, drafting, guardrails</w:t>
            </w:r>
          </w:p>
        </w:tc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ai_interaction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Notification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Email/SMS/WhatsApp with consent; reminders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(event-driven)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Audit &amp; reporting</w:t>
            </w:r>
          </w:p>
        </w:tc>
        <w:tc>
          <w:tcPr>
            <w:tcW w:type="dxa" w:w="460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Tamper-evident event log, MIS, statutory returns</w:t>
            </w:r>
          </w:p>
        </w:tc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audit_event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Sequence flows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four canonical flows below define the contract between the client, services and external providers. Each numbered message maps to an endpoint in `openapi_fam.yaml`.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3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seq01_intak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17"/>
        </w:rPr>
        <w:t>Sequence 1 — intake, AI triage and case creation, with safety screening at triage.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716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seq02_appoint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17"/>
        </w:rPr>
        <w:t>Sequence 2 — mediator appointment, conflict check and disclosure.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608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seq03_session_esig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17"/>
        </w:rPr>
        <w:t>Sequence 3 — session, settlement drafting, Aadhaar e-Sign and e-Stamp.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34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seq04_escrow_clos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17"/>
        </w:rPr>
        <w:t>Sequence 4 — escrow funding, milestone release, registration and closure.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Data model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full DDL is delivered as `schema_fam.sql` (PostgreSQL, 21 tables, 11 enumerated types). The model is organised around six clusters: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87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Cluster</w:t>
            </w:r>
          </w:p>
        </w:tc>
        <w:tc>
          <w:tcPr>
            <w:tcW w:type="dxa" w:w="417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Tables</w:t>
            </w:r>
          </w:p>
        </w:tc>
        <w:tc>
          <w:tcPr>
            <w:tcW w:type="dxa" w:w="345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Parties &amp; consent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party, consent_record, case_party, child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Identifiers tokenised; children recorded by initials and age only</w:t>
            </w:r>
          </w:p>
        </w:tc>
      </w:tr>
      <w:tr>
        <w:tc>
          <w:tcPr>
            <w:tcW w:type="dxa" w:w="18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Case &amp; safety</w:t>
            </w:r>
          </w:p>
        </w:tc>
        <w:tc>
          <w:tcPr>
            <w:tcW w:type="dxa" w:w="41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mediation_case, screening, case_sla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safety_flag gates joint sessions; screening is per-party and confidential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Panel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neutral, appointment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Conflict check and signed disclosure required before activation</w:t>
            </w:r>
          </w:p>
        </w:tc>
      </w:tr>
      <w:tr>
        <w:tc>
          <w:tcPr>
            <w:tcW w:type="dxa" w:w="18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Process</w:t>
            </w:r>
          </w:p>
        </w:tc>
        <w:tc>
          <w:tcPr>
            <w:tcW w:type="dxa" w:w="41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session, caucus_note, document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caucus_note stores ciphertext only (BYTEA), sealed to the mediator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Outcome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settlement, settlement_obligation, escrow, escrow_milestone, payment_txn, court_referral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Obligations drive the compliance tracker</w:t>
            </w:r>
          </w:p>
        </w:tc>
      </w:tr>
      <w:tr>
        <w:tc>
          <w:tcPr>
            <w:tcW w:type="dxa" w:w="18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Governance</w:t>
            </w:r>
          </w:p>
        </w:tc>
        <w:tc>
          <w:tcPr>
            <w:tcW w:type="dxa" w:w="41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ai_interaction, audit_event, retention_policy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Hash-chained audit; retention enforced by policy table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3.1  Data-protection design (DPDP Act, 2023)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Minimisation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children are identified by initials and age; no raw government IDs are stored, only tokenised references.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Consent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`consent_record` captures purpose, basis, notice version and withdrawal; withdrawal propagates to processing.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Sealed data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caucus notes are encrypted at rest with keys scoped to the mediator; no cross-party read path exists.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Retention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`retention_policy` drives automated purge (caucus notes 12 months; case records 84 months; audit 120 months) — confirm against the DPDP Rules.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Auditability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`audit_event` is append-only and hash-chained (`prev_hash`/`row_hash`) so tampering is detectable.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API contract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`openapi_fam.yaml` (OpenAPI 3.0.3) defines </w:t>
      </w:r>
      <w:r>
        <w:rPr>
          <w:rFonts w:ascii="Calibri" w:hAnsi="Calibri"/>
          <w:b/>
          <w:i w:val="0"/>
          <w:color w:val="1B2A32"/>
          <w:sz w:val="21"/>
        </w:rPr>
        <w:t>23 endpoints</w:t>
      </w:r>
      <w:r>
        <w:rPr>
          <w:rFonts w:ascii="Calibri" w:hAnsi="Calibri"/>
          <w:b w:val="0"/>
          <w:i w:val="0"/>
          <w:color w:val="1B2A32"/>
          <w:sz w:val="21"/>
        </w:rPr>
        <w:t xml:space="preserve"> across 10 tags. Notable design decisions: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`POST /cases/{id}/sessions` returns </w:t>
      </w:r>
      <w:r>
        <w:rPr>
          <w:rFonts w:ascii="Calibri" w:hAnsi="Calibri"/>
          <w:b/>
          <w:i w:val="0"/>
          <w:color w:val="1B2A32"/>
          <w:sz w:val="21"/>
        </w:rPr>
        <w:t>409 Conflict</w:t>
      </w:r>
      <w:r>
        <w:rPr>
          <w:rFonts w:ascii="Calibri" w:hAnsi="Calibri"/>
          <w:b w:val="0"/>
          <w:i w:val="0"/>
          <w:color w:val="1B2A32"/>
          <w:sz w:val="21"/>
        </w:rPr>
        <w:t xml:space="preserve"> where a safety flag prohibits a joint session — the safety rule is enforced at the API, not merely in the UI.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`POST /cases/{id}/screening` is per-party and never returns another party's screening content.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`POST /sessions/{id}/caucus-notes` is mediator-scoped and write-mostly; there is no cross-party read endpoint.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`POST /ai/explore` always returns `disclaimers`, `citations` (RAG provenance), `isAdvice: false` and `humanEscalationOffered`.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`POST /settlements/{id}/register` submits the MSA for registration under </w:t>
      </w:r>
      <w:r>
        <w:rPr>
          <w:rFonts w:ascii="Calibri" w:hAnsi="Calibri"/>
          <w:b/>
          <w:i w:val="0"/>
          <w:color w:val="1B2A32"/>
          <w:sz w:val="21"/>
        </w:rPr>
        <w:t>s.20</w:t>
      </w:r>
      <w:r>
        <w:rPr>
          <w:rFonts w:ascii="Calibri" w:hAnsi="Calibri"/>
          <w:b w:val="0"/>
          <w:i w:val="0"/>
          <w:color w:val="1B2A32"/>
          <w:sz w:val="21"/>
        </w:rPr>
        <w:t xml:space="preserve"> of the Mediation Act, 2023; `enforceableS27` records decree-equivalence under </w:t>
      </w:r>
      <w:r>
        <w:rPr>
          <w:rFonts w:ascii="Calibri" w:hAnsi="Calibri"/>
          <w:b/>
          <w:i w:val="0"/>
          <w:color w:val="1B2A32"/>
          <w:sz w:val="21"/>
        </w:rPr>
        <w:t>s.27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 Security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273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676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Implementation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Transport &amp; storage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TLS 1.2+; AES-256 at rest; field-level encryption for sealed notes</w:t>
            </w:r>
          </w:p>
        </w:tc>
      </w:tr>
      <w:tr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Identity</w:t>
            </w:r>
          </w:p>
        </w:tc>
        <w:tc>
          <w:tcPr>
            <w:tcW w:type="dxa" w:w="67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MFA for staff, mediators and panel; step-up auth for sealed data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Authorisation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RBAC plus per-case ACLs; confidentiality walls between parties</w:t>
            </w:r>
          </w:p>
        </w:tc>
      </w:tr>
      <w:tr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Key management</w:t>
            </w:r>
          </w:p>
        </w:tc>
        <w:tc>
          <w:tcPr>
            <w:tcW w:type="dxa" w:w="67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HSM/KMS; per-case data keys for caucus material; rotation policy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Audit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Append-only, hash-chained event log; access logging on every read of sensitive data</w:t>
            </w:r>
          </w:p>
        </w:tc>
      </w:tr>
      <w:tr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Application security</w:t>
            </w:r>
          </w:p>
        </w:tc>
        <w:tc>
          <w:tcPr>
            <w:tcW w:type="dxa" w:w="67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SAST/DAST, dependency scanning, quarterly pen-test, patch SLAs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Resilience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Encrypted backups; tested restore; documented RPO ≤1h / RTO ≤4h</w:t>
            </w:r>
          </w:p>
        </w:tc>
      </w:tr>
      <w:tr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Data residency</w:t>
            </w:r>
          </w:p>
        </w:tc>
        <w:tc>
          <w:tcPr>
            <w:tcW w:type="dxa" w:w="67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India-resident storage and processing as applicable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6.  Environments, delivery &amp; non-functionals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Separate dev / staging / production; infrastructure-as-code; CI/CD with automated tests plus security and AI-evaluation gates; full observability (logs, metrics, traces). Rollout is staged: internal → closed pilot (one or two courts/partners) → general availability.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74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Attribute</w:t>
            </w:r>
          </w:p>
        </w:tc>
        <w:tc>
          <w:tcPr>
            <w:tcW w:type="dxa" w:w="57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Target [confirm at build]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Availability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99.9% for core case services</w:t>
            </w:r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p95 API latency</w:t>
            </w:r>
          </w:p>
        </w:tc>
        <w:tc>
          <w:tcPr>
            <w:tcW w:type="dxa" w:w="5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&lt; 500 ms (non-AI endpoints)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AI response p95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&lt; 5 s with streaming</w:t>
            </w:r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RPO / RTO</w:t>
            </w:r>
          </w:p>
        </w:tc>
        <w:tc>
          <w:tcPr>
            <w:tcW w:type="dxa" w:w="5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≤ 1 hour / ≤ 4 hours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Concurrent sessions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Horizontally scalable; video via managed provider</w:t>
            </w:r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Accessibility</w:t>
            </w:r>
          </w:p>
        </w:tc>
        <w:tc>
          <w:tcPr>
            <w:tcW w:type="dxa" w:w="5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WCAG 2.1 AA; vernacular UI</w:t>
            </w:r>
          </w:p>
        </w:tc>
      </w:tr>
    </w:tbl>
    <w:p>
      <w:pPr>
        <w:spacing w:after="40"/>
      </w:pPr>
    </w:p>
    <w:p>
      <w:pPr>
        <w:spacing w:after="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This specification is a draft for engineering and must be reviewed by security, a Data Protection Officer and counsel before build. It is not legal advice.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Family &amp; Marital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image" Target="media/image2.png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F2AE75-6F1C-44FF-A3B1-DA2A4DDBB8F8}"/>
</file>

<file path=customXml/itemProps3.xml><?xml version="1.0" encoding="utf-8"?>
<ds:datastoreItem xmlns:ds="http://schemas.openxmlformats.org/officeDocument/2006/customXml" ds:itemID="{B01357C8-36B2-4629-8BF1-AEB92233DD92}"/>
</file>

<file path=customXml/itemProps4.xml><?xml version="1.0" encoding="utf-8"?>
<ds:datastoreItem xmlns:ds="http://schemas.openxmlformats.org/officeDocument/2006/customXml" ds:itemID="{C55C982B-1900-4AFC-8A97-6E7C190D4D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