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 — Court Interface</w:t>
      </w:r>
    </w:p>
    <w:p>
      <w:pPr>
        <w:pBdr>
          <w:top w:val="single" w:sz="14" w:space="6" w:color="C6A15B"/>
          <w:bottom w:val="single" w:sz="14" w:space="6" w:color="C6A15B"/>
        </w:pBdr>
      </w:pPr>
    </w:p>
    <w:p>
      <w:pPr>
        <w:spacing w:before="600"/>
        <w:jc w:val="center"/>
      </w:pPr>
      <w:r>
        <w:rPr>
          <w:rFonts w:ascii="Calibri" w:hAnsi="Calibri"/>
          <w:b/>
          <w:i w:val="0"/>
          <w:color w:val="123B4F"/>
          <w:sz w:val="48"/>
        </w:rPr>
        <w:t>Court-Referral MoU &amp; Pilot Plan</w:t>
      </w:r>
    </w:p>
    <w:p>
      <w:pPr>
        <w:jc w:val="center"/>
      </w:pPr>
      <w:r>
        <w:rPr>
          <w:rFonts w:ascii="Calibri" w:hAnsi="Calibri"/>
          <w:b w:val="0"/>
          <w:i/>
          <w:color w:val="556168"/>
          <w:sz w:val="25"/>
        </w:rPr>
        <w:t>Template memorandum with a Family Court, and the plan to evaluate a first pilot</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Draft for counsel and the court</w:t>
            </w:r>
          </w:p>
          <w:p>
            <w:r>
              <w:rPr>
                <w:rFonts w:ascii="Calibri" w:hAnsi="Calibri"/>
                <w:b w:val="0"/>
                <w:i w:val="0"/>
                <w:color w:val="1B2A32"/>
                <w:sz w:val="19"/>
              </w:rPr>
              <w:t>This is a starting point for discussion with a court. Any arrangement must comply with the Family Courts Act, 1984, section 89 CPC, the Mediation Act, 2023, and the directions of the court and the relevant High Court. Nothing here binds any court.</w:t>
            </w:r>
          </w:p>
        </w:tc>
      </w:tr>
    </w:tbl>
    <w:p>
      <w:pPr>
        <w:spacing w:after="40"/>
      </w:pPr>
    </w:p>
    <w:p>
      <w:pPr>
        <w:keepNext/>
        <w:spacing w:before="280" w:after="120"/>
        <w:pBdr>
          <w:bottom w:val="single" w:sz="12" w:space="3" w:color="C6A15B"/>
        </w:pBdr>
      </w:pPr>
      <w:r>
        <w:rPr>
          <w:rFonts w:ascii="Calibri" w:hAnsi="Calibri"/>
          <w:b/>
          <w:i w:val="0"/>
          <w:color w:val="123B4F"/>
          <w:sz w:val="32"/>
        </w:rPr>
        <w:t>Part 1 — Memorandum of Understanding (template)</w:t>
      </w:r>
    </w:p>
    <w:p>
      <w:pPr>
        <w:keepNext/>
        <w:spacing w:before="200" w:after="60"/>
      </w:pPr>
      <w:r>
        <w:rPr>
          <w:rFonts w:ascii="Calibri" w:hAnsi="Calibri"/>
          <w:b/>
          <w:i w:val="0"/>
          <w:color w:val="1E7A8C"/>
          <w:sz w:val="25"/>
        </w:rPr>
        <w:t>Parties and purpose</w:t>
      </w:r>
    </w:p>
    <w:p>
      <w:pPr>
        <w:spacing w:after="120"/>
        <w:jc w:val="both"/>
      </w:pPr>
      <w:r>
        <w:rPr>
          <w:rFonts w:ascii="Calibri" w:hAnsi="Calibri"/>
          <w:b w:val="0"/>
          <w:i w:val="0"/>
          <w:color w:val="1B2A32"/>
          <w:sz w:val="21"/>
        </w:rPr>
        <w:t xml:space="preserve">This Memorandum records the understanding between the </w:t>
      </w:r>
      <w:r>
        <w:rPr>
          <w:rFonts w:ascii="Calibri" w:hAnsi="Calibri"/>
          <w:b/>
          <w:i w:val="0"/>
          <w:color w:val="1B2A32"/>
          <w:sz w:val="21"/>
        </w:rPr>
        <w:t>[Family Court / District Judiciary / DLSA], [place]</w:t>
      </w:r>
      <w:r>
        <w:rPr>
          <w:rFonts w:ascii="Calibri" w:hAnsi="Calibri"/>
          <w:b w:val="0"/>
          <w:i w:val="0"/>
          <w:color w:val="1B2A32"/>
          <w:sz w:val="21"/>
        </w:rPr>
        <w:t xml:space="preserve"> ("the Court") and </w:t>
      </w:r>
      <w:r>
        <w:rPr>
          <w:rFonts w:ascii="Calibri" w:hAnsi="Calibri"/>
          <w:b/>
          <w:i w:val="0"/>
          <w:color w:val="1B2A32"/>
          <w:sz w:val="21"/>
        </w:rPr>
        <w:t>Equator Resolution</w:t>
      </w:r>
      <w:r>
        <w:rPr>
          <w:rFonts w:ascii="Calibri" w:hAnsi="Calibri"/>
          <w:b w:val="0"/>
          <w:i w:val="0"/>
          <w:color w:val="1B2A32"/>
          <w:sz w:val="21"/>
        </w:rPr>
        <w:t xml:space="preserve"> ("the Institution") for the referral of suitable family matters to institutional mediation, and the return of the outcome to the Court.</w:t>
      </w:r>
    </w:p>
    <w:p>
      <w:pPr>
        <w:keepNext/>
        <w:spacing w:before="200" w:after="60"/>
      </w:pPr>
      <w:r>
        <w:rPr>
          <w:rFonts w:ascii="Calibri" w:hAnsi="Calibri"/>
          <w:b/>
          <w:i w:val="0"/>
          <w:color w:val="1E7A8C"/>
          <w:sz w:val="25"/>
        </w:rPr>
        <w:t>Heads of terms</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B4F"/>
          </w:tcPr>
          <w:p>
            <w:r/>
            <w:r>
              <w:rPr>
                <w:rFonts w:ascii="Calibri" w:hAnsi="Calibri"/>
                <w:b/>
                <w:i w:val="0"/>
                <w:color w:val="FFFFFF"/>
                <w:sz w:val="17"/>
              </w:rPr>
              <w:t>Clause</w:t>
            </w:r>
          </w:p>
        </w:tc>
        <w:tc>
          <w:tcPr>
            <w:tcW w:type="dxa" w:w="7200"/>
            <w:shd w:val="clear" w:fill="123B4F"/>
          </w:tcPr>
          <w:p>
            <w:r/>
            <w:r>
              <w:rPr>
                <w:rFonts w:ascii="Calibri" w:hAnsi="Calibri"/>
                <w:b/>
                <w:i w:val="0"/>
                <w:color w:val="FFFFFF"/>
                <w:sz w:val="17"/>
              </w:rPr>
              <w:t>Substance</w:t>
            </w:r>
          </w:p>
        </w:tc>
      </w:tr>
      <w:tr>
        <w:tc>
          <w:tcPr>
            <w:tcW w:type="dxa" w:w="2304"/>
          </w:tcPr>
          <w:p>
            <w:r/>
            <w:r>
              <w:rPr>
                <w:rFonts w:ascii="Calibri" w:hAnsi="Calibri"/>
                <w:b w:val="0"/>
                <w:i w:val="0"/>
                <w:color w:val="1B2A32"/>
                <w:sz w:val="17"/>
              </w:rPr>
              <w:t>1. Scope</w:t>
            </w:r>
          </w:p>
        </w:tc>
        <w:tc>
          <w:tcPr>
            <w:tcW w:type="dxa" w:w="7200"/>
          </w:tcPr>
          <w:p>
            <w:r/>
            <w:r>
              <w:rPr>
                <w:rFonts w:ascii="Calibri" w:hAnsi="Calibri"/>
                <w:b w:val="0"/>
                <w:i w:val="0"/>
                <w:color w:val="1B2A32"/>
                <w:sz w:val="17"/>
              </w:rPr>
              <w:t>Categories of matter the Court may refer — mutual-consent divorce, maintenance, custody and parenting, matrimonial property — and those excluded.</w:t>
            </w:r>
          </w:p>
        </w:tc>
      </w:tr>
      <w:tr>
        <w:tc>
          <w:tcPr>
            <w:tcW w:type="dxa" w:w="2304"/>
            <w:shd w:val="clear" w:fill="F3F7F9"/>
          </w:tcPr>
          <w:p>
            <w:r/>
            <w:r>
              <w:rPr>
                <w:rFonts w:ascii="Calibri" w:hAnsi="Calibri"/>
                <w:b w:val="0"/>
                <w:i w:val="0"/>
                <w:color w:val="1B2A32"/>
                <w:sz w:val="17"/>
              </w:rPr>
              <w:t>2. Referral mechanism</w:t>
            </w:r>
          </w:p>
        </w:tc>
        <w:tc>
          <w:tcPr>
            <w:tcW w:type="dxa" w:w="7200"/>
            <w:shd w:val="clear" w:fill="F3F7F9"/>
          </w:tcPr>
          <w:p>
            <w:r/>
            <w:r>
              <w:rPr>
                <w:rFonts w:ascii="Calibri" w:hAnsi="Calibri"/>
                <w:b w:val="0"/>
                <w:i w:val="0"/>
                <w:color w:val="1B2A32"/>
                <w:sz w:val="17"/>
              </w:rPr>
              <w:t>Form of the referral order; transmission of the case particulars; the Institution's acknowledgement timeline.</w:t>
            </w:r>
          </w:p>
        </w:tc>
      </w:tr>
      <w:tr>
        <w:tc>
          <w:tcPr>
            <w:tcW w:type="dxa" w:w="2304"/>
          </w:tcPr>
          <w:p>
            <w:r/>
            <w:r>
              <w:rPr>
                <w:rFonts w:ascii="Calibri" w:hAnsi="Calibri"/>
                <w:b w:val="0"/>
                <w:i w:val="0"/>
                <w:color w:val="1B2A32"/>
                <w:sz w:val="17"/>
              </w:rPr>
              <w:t>3. Screening</w:t>
            </w:r>
          </w:p>
        </w:tc>
        <w:tc>
          <w:tcPr>
            <w:tcW w:type="dxa" w:w="7200"/>
          </w:tcPr>
          <w:p>
            <w:r/>
            <w:r>
              <w:rPr>
                <w:rFonts w:ascii="Calibri" w:hAnsi="Calibri"/>
                <w:b w:val="0"/>
                <w:i w:val="0"/>
                <w:color w:val="1B2A32"/>
                <w:sz w:val="17"/>
              </w:rPr>
              <w:t>The Institution conducts confidential safety and suitability screening before any joint session and may report a matter as unsuitable without attributing fault.</w:t>
            </w:r>
          </w:p>
        </w:tc>
      </w:tr>
      <w:tr>
        <w:tc>
          <w:tcPr>
            <w:tcW w:type="dxa" w:w="2304"/>
            <w:shd w:val="clear" w:fill="F3F7F9"/>
          </w:tcPr>
          <w:p>
            <w:r/>
            <w:r>
              <w:rPr>
                <w:rFonts w:ascii="Calibri" w:hAnsi="Calibri"/>
                <w:b w:val="0"/>
                <w:i w:val="0"/>
                <w:color w:val="1B2A32"/>
                <w:sz w:val="17"/>
              </w:rPr>
              <w:t>4. Panel</w:t>
            </w:r>
          </w:p>
        </w:tc>
        <w:tc>
          <w:tcPr>
            <w:tcW w:type="dxa" w:w="7200"/>
            <w:shd w:val="clear" w:fill="F3F7F9"/>
          </w:tcPr>
          <w:p>
            <w:r/>
            <w:r>
              <w:rPr>
                <w:rFonts w:ascii="Calibri" w:hAnsi="Calibri"/>
                <w:b w:val="0"/>
                <w:i w:val="0"/>
                <w:color w:val="1B2A32"/>
                <w:sz w:val="17"/>
              </w:rPr>
              <w:t>Mediators are drawn from the Institution's panel, certified and conflict-checked; the Court may indicate a preference (including gender).</w:t>
            </w:r>
          </w:p>
        </w:tc>
      </w:tr>
      <w:tr>
        <w:tc>
          <w:tcPr>
            <w:tcW w:type="dxa" w:w="2304"/>
          </w:tcPr>
          <w:p>
            <w:r/>
            <w:r>
              <w:rPr>
                <w:rFonts w:ascii="Calibri" w:hAnsi="Calibri"/>
                <w:b w:val="0"/>
                <w:i w:val="0"/>
                <w:color w:val="1B2A32"/>
                <w:sz w:val="17"/>
              </w:rPr>
              <w:t>5. Timelines</w:t>
            </w:r>
          </w:p>
        </w:tc>
        <w:tc>
          <w:tcPr>
            <w:tcW w:type="dxa" w:w="7200"/>
          </w:tcPr>
          <w:p>
            <w:r/>
            <w:r>
              <w:rPr>
                <w:rFonts w:ascii="Calibri" w:hAnsi="Calibri"/>
                <w:b w:val="0"/>
                <w:i w:val="0"/>
                <w:color w:val="1B2A32"/>
                <w:sz w:val="17"/>
              </w:rPr>
              <w:t>Target period for completion and the process for seeking an extension from the Court.</w:t>
            </w:r>
          </w:p>
        </w:tc>
      </w:tr>
      <w:tr>
        <w:tc>
          <w:tcPr>
            <w:tcW w:type="dxa" w:w="2304"/>
            <w:shd w:val="clear" w:fill="F3F7F9"/>
          </w:tcPr>
          <w:p>
            <w:r/>
            <w:r>
              <w:rPr>
                <w:rFonts w:ascii="Calibri" w:hAnsi="Calibri"/>
                <w:b w:val="0"/>
                <w:i w:val="0"/>
                <w:color w:val="1B2A32"/>
                <w:sz w:val="17"/>
              </w:rPr>
              <w:t>6. Confidentiality</w:t>
            </w:r>
          </w:p>
        </w:tc>
        <w:tc>
          <w:tcPr>
            <w:tcW w:type="dxa" w:w="7200"/>
            <w:shd w:val="clear" w:fill="F3F7F9"/>
          </w:tcPr>
          <w:p>
            <w:r/>
            <w:r>
              <w:rPr>
                <w:rFonts w:ascii="Calibri" w:hAnsi="Calibri"/>
                <w:b w:val="0"/>
                <w:i w:val="0"/>
                <w:color w:val="1B2A32"/>
                <w:sz w:val="17"/>
              </w:rPr>
              <w:t>The mediation is confidential (Mediation Act, s.22); the report to the Court is confined to settlement or non-settlement and the agreed terms.</w:t>
            </w:r>
          </w:p>
        </w:tc>
      </w:tr>
      <w:tr>
        <w:tc>
          <w:tcPr>
            <w:tcW w:type="dxa" w:w="2304"/>
          </w:tcPr>
          <w:p>
            <w:r/>
            <w:r>
              <w:rPr>
                <w:rFonts w:ascii="Calibri" w:hAnsi="Calibri"/>
                <w:b w:val="0"/>
                <w:i w:val="0"/>
                <w:color w:val="1B2A32"/>
                <w:sz w:val="17"/>
              </w:rPr>
              <w:t>7. Reporting</w:t>
            </w:r>
          </w:p>
        </w:tc>
        <w:tc>
          <w:tcPr>
            <w:tcW w:type="dxa" w:w="7200"/>
          </w:tcPr>
          <w:p>
            <w:r/>
            <w:r>
              <w:rPr>
                <w:rFonts w:ascii="Calibri" w:hAnsi="Calibri"/>
                <w:b w:val="0"/>
                <w:i w:val="0"/>
                <w:color w:val="1B2A32"/>
                <w:sz w:val="17"/>
              </w:rPr>
              <w:t>Form and timing of the report; transmission of the signed settlement for the Court's consideration.</w:t>
            </w:r>
          </w:p>
        </w:tc>
      </w:tr>
      <w:tr>
        <w:tc>
          <w:tcPr>
            <w:tcW w:type="dxa" w:w="2304"/>
            <w:shd w:val="clear" w:fill="F3F7F9"/>
          </w:tcPr>
          <w:p>
            <w:r/>
            <w:r>
              <w:rPr>
                <w:rFonts w:ascii="Calibri" w:hAnsi="Calibri"/>
                <w:b w:val="0"/>
                <w:i w:val="0"/>
                <w:color w:val="1B2A32"/>
                <w:sz w:val="17"/>
              </w:rPr>
              <w:t>8. Fees</w:t>
            </w:r>
          </w:p>
        </w:tc>
        <w:tc>
          <w:tcPr>
            <w:tcW w:type="dxa" w:w="7200"/>
            <w:shd w:val="clear" w:fill="F3F7F9"/>
          </w:tcPr>
          <w:p>
            <w:r/>
            <w:r>
              <w:rPr>
                <w:rFonts w:ascii="Calibri" w:hAnsi="Calibri"/>
                <w:b w:val="0"/>
                <w:i w:val="0"/>
                <w:color w:val="1B2A32"/>
                <w:sz w:val="17"/>
              </w:rPr>
              <w:t>Court-referred matters at concessional or nil cost to the parties as agreed; no fee negotiated directly with a party.</w:t>
            </w:r>
          </w:p>
        </w:tc>
      </w:tr>
      <w:tr>
        <w:tc>
          <w:tcPr>
            <w:tcW w:type="dxa" w:w="2304"/>
          </w:tcPr>
          <w:p>
            <w:r/>
            <w:r>
              <w:rPr>
                <w:rFonts w:ascii="Calibri" w:hAnsi="Calibri"/>
                <w:b w:val="0"/>
                <w:i w:val="0"/>
                <w:color w:val="1B2A32"/>
                <w:sz w:val="17"/>
              </w:rPr>
              <w:t>9. Data protection</w:t>
            </w:r>
          </w:p>
        </w:tc>
        <w:tc>
          <w:tcPr>
            <w:tcW w:type="dxa" w:w="7200"/>
          </w:tcPr>
          <w:p>
            <w:r/>
            <w:r>
              <w:rPr>
                <w:rFonts w:ascii="Calibri" w:hAnsi="Calibri"/>
                <w:b w:val="0"/>
                <w:i w:val="0"/>
                <w:color w:val="1B2A32"/>
                <w:sz w:val="17"/>
              </w:rPr>
              <w:t>Roles under the DPDP Act, 2023; security; retention; no use of case data for AI training.</w:t>
            </w:r>
          </w:p>
        </w:tc>
      </w:tr>
      <w:tr>
        <w:tc>
          <w:tcPr>
            <w:tcW w:type="dxa" w:w="2304"/>
            <w:shd w:val="clear" w:fill="F3F7F9"/>
          </w:tcPr>
          <w:p>
            <w:r/>
            <w:r>
              <w:rPr>
                <w:rFonts w:ascii="Calibri" w:hAnsi="Calibri"/>
                <w:b w:val="0"/>
                <w:i w:val="0"/>
                <w:color w:val="1B2A32"/>
                <w:sz w:val="17"/>
              </w:rPr>
              <w:t>10. Records &amp; audit</w:t>
            </w:r>
          </w:p>
        </w:tc>
        <w:tc>
          <w:tcPr>
            <w:tcW w:type="dxa" w:w="7200"/>
            <w:shd w:val="clear" w:fill="F3F7F9"/>
          </w:tcPr>
          <w:p>
            <w:r/>
            <w:r>
              <w:rPr>
                <w:rFonts w:ascii="Calibri" w:hAnsi="Calibri"/>
                <w:b w:val="0"/>
                <w:i w:val="0"/>
                <w:color w:val="1B2A32"/>
                <w:sz w:val="17"/>
              </w:rPr>
              <w:t>Case register, anonymised statistics, and access for the Court's oversight.</w:t>
            </w:r>
          </w:p>
        </w:tc>
      </w:tr>
      <w:tr>
        <w:tc>
          <w:tcPr>
            <w:tcW w:type="dxa" w:w="2304"/>
          </w:tcPr>
          <w:p>
            <w:r/>
            <w:r>
              <w:rPr>
                <w:rFonts w:ascii="Calibri" w:hAnsi="Calibri"/>
                <w:b w:val="0"/>
                <w:i w:val="0"/>
                <w:color w:val="1B2A32"/>
                <w:sz w:val="17"/>
              </w:rPr>
              <w:t>11. Training &amp; liaison</w:t>
            </w:r>
          </w:p>
        </w:tc>
        <w:tc>
          <w:tcPr>
            <w:tcW w:type="dxa" w:w="7200"/>
          </w:tcPr>
          <w:p>
            <w:r/>
            <w:r>
              <w:rPr>
                <w:rFonts w:ascii="Calibri" w:hAnsi="Calibri"/>
                <w:b w:val="0"/>
                <w:i w:val="0"/>
                <w:color w:val="1B2A32"/>
                <w:sz w:val="17"/>
              </w:rPr>
              <w:t>Orientation for court staff; a named liaison on each side; periodic review meetings.</w:t>
            </w:r>
          </w:p>
        </w:tc>
      </w:tr>
      <w:tr>
        <w:tc>
          <w:tcPr>
            <w:tcW w:type="dxa" w:w="2304"/>
            <w:shd w:val="clear" w:fill="F3F7F9"/>
          </w:tcPr>
          <w:p>
            <w:r/>
            <w:r>
              <w:rPr>
                <w:rFonts w:ascii="Calibri" w:hAnsi="Calibri"/>
                <w:b w:val="0"/>
                <w:i w:val="0"/>
                <w:color w:val="1B2A32"/>
                <w:sz w:val="17"/>
              </w:rPr>
              <w:t>12. Term, review &amp; termination</w:t>
            </w:r>
          </w:p>
        </w:tc>
        <w:tc>
          <w:tcPr>
            <w:tcW w:type="dxa" w:w="7200"/>
            <w:shd w:val="clear" w:fill="F3F7F9"/>
          </w:tcPr>
          <w:p>
            <w:r/>
            <w:r>
              <w:rPr>
                <w:rFonts w:ascii="Calibri" w:hAnsi="Calibri"/>
                <w:b w:val="0"/>
                <w:i w:val="0"/>
                <w:color w:val="1B2A32"/>
                <w:sz w:val="17"/>
              </w:rPr>
              <w:t>Pilot term, review points, and termination without prejudice to pending matters.</w:t>
            </w:r>
          </w:p>
        </w:tc>
      </w:tr>
      <w:tr>
        <w:tc>
          <w:tcPr>
            <w:tcW w:type="dxa" w:w="2304"/>
          </w:tcPr>
          <w:p>
            <w:r/>
            <w:r>
              <w:rPr>
                <w:rFonts w:ascii="Calibri" w:hAnsi="Calibri"/>
                <w:b w:val="0"/>
                <w:i w:val="0"/>
                <w:color w:val="1B2A32"/>
                <w:sz w:val="17"/>
              </w:rPr>
              <w:t>13. No delegation of judicial function</w:t>
            </w:r>
          </w:p>
        </w:tc>
        <w:tc>
          <w:tcPr>
            <w:tcW w:type="dxa" w:w="7200"/>
          </w:tcPr>
          <w:p>
            <w:r/>
            <w:r>
              <w:rPr>
                <w:rFonts w:ascii="Calibri" w:hAnsi="Calibri"/>
                <w:b w:val="0"/>
                <w:i w:val="0"/>
                <w:color w:val="1B2A32"/>
                <w:sz w:val="17"/>
              </w:rPr>
              <w:t>Nothing in this MoU delegates any judicial function; the Court alone decides the matter.</w:t>
            </w:r>
          </w:p>
        </w:tc>
      </w:tr>
    </w:tbl>
    <w:p>
      <w:pPr>
        <w:spacing w:after="40"/>
      </w:pPr>
    </w:p>
    <w:p>
      <w:pPr>
        <w:spacing w:after="120"/>
        <w:jc w:val="both"/>
      </w:pPr>
      <w:r>
        <w:rPr>
          <w:rFonts w:ascii="Calibri" w:hAnsi="Calibri"/>
          <w:b/>
          <w:i w:val="0"/>
          <w:color w:val="1B2A32"/>
          <w:sz w:val="21"/>
        </w:rPr>
        <w:t>For the Court:</w:t>
      </w:r>
      <w:r>
        <w:rPr>
          <w:rFonts w:ascii="Calibri" w:hAnsi="Calibri"/>
          <w:b w:val="0"/>
          <w:i w:val="0"/>
          <w:color w:val="1B2A32"/>
          <w:sz w:val="21"/>
        </w:rPr>
        <w:t xml:space="preserve"> ____________________   </w:t>
      </w:r>
      <w:r>
        <w:rPr>
          <w:rFonts w:ascii="Calibri" w:hAnsi="Calibri"/>
          <w:b/>
          <w:i w:val="0"/>
          <w:color w:val="1B2A32"/>
          <w:sz w:val="21"/>
        </w:rPr>
        <w:t>For Equator Resolution:</w:t>
      </w:r>
      <w:r>
        <w:rPr>
          <w:rFonts w:ascii="Calibri" w:hAnsi="Calibri"/>
          <w:b w:val="0"/>
          <w:i w:val="0"/>
          <w:color w:val="1B2A32"/>
          <w:sz w:val="21"/>
        </w:rPr>
        <w:t xml:space="preserve"> ____________________   </w:t>
      </w:r>
      <w:r>
        <w:rPr>
          <w:rFonts w:ascii="Calibri" w:hAnsi="Calibri"/>
          <w:b/>
          <w:i w:val="0"/>
          <w:color w:val="1B2A32"/>
          <w:sz w:val="21"/>
        </w:rPr>
        <w:t>Date:</w:t>
      </w:r>
      <w:r>
        <w:rPr>
          <w:rFonts w:ascii="Calibri" w:hAnsi="Calibri"/>
          <w:b w:val="0"/>
          <w:i w:val="0"/>
          <w:color w:val="1B2A32"/>
          <w:sz w:val="21"/>
        </w:rPr>
        <w:t xml:space="preserve"> __________</w:t>
      </w:r>
    </w:p>
    <w:p>
      <w:r>
        <w:br w:type="page"/>
      </w:r>
    </w:p>
    <w:p>
      <w:pPr>
        <w:keepNext/>
        <w:spacing w:before="280" w:after="120"/>
        <w:pBdr>
          <w:bottom w:val="single" w:sz="12" w:space="3" w:color="C6A15B"/>
        </w:pBdr>
      </w:pPr>
      <w:r>
        <w:rPr>
          <w:rFonts w:ascii="Calibri" w:hAnsi="Calibri"/>
          <w:b/>
          <w:i w:val="0"/>
          <w:color w:val="123B4F"/>
          <w:sz w:val="32"/>
        </w:rPr>
        <w:t>Part 2 — Pilot plan</w:t>
      </w:r>
    </w:p>
    <w:p>
      <w:pPr>
        <w:keepNext/>
        <w:spacing w:before="200" w:after="60"/>
      </w:pPr>
      <w:r>
        <w:rPr>
          <w:rFonts w:ascii="Calibri" w:hAnsi="Calibri"/>
          <w:b/>
          <w:i w:val="0"/>
          <w:color w:val="1E7A8C"/>
          <w:sz w:val="25"/>
        </w:rPr>
        <w:t>Objective</w:t>
      </w:r>
    </w:p>
    <w:p>
      <w:pPr>
        <w:spacing w:after="120"/>
        <w:jc w:val="both"/>
      </w:pPr>
      <w:r>
        <w:rPr>
          <w:rFonts w:ascii="Calibri" w:hAnsi="Calibri"/>
          <w:b w:val="0"/>
          <w:i w:val="0"/>
          <w:color w:val="1B2A32"/>
          <w:sz w:val="21"/>
        </w:rPr>
        <w:t xml:space="preserve">To test, with one or two Family Courts, whether institutional mediation administered by Equator produces </w:t>
      </w:r>
      <w:r>
        <w:rPr>
          <w:rFonts w:ascii="Calibri" w:hAnsi="Calibri"/>
          <w:b/>
          <w:i w:val="0"/>
          <w:color w:val="1B2A32"/>
          <w:sz w:val="21"/>
        </w:rPr>
        <w:t>faster, safer and more durable</w:t>
      </w:r>
      <w:r>
        <w:rPr>
          <w:rFonts w:ascii="Calibri" w:hAnsi="Calibri"/>
          <w:b w:val="0"/>
          <w:i w:val="0"/>
          <w:color w:val="1B2A32"/>
          <w:sz w:val="21"/>
        </w:rPr>
        <w:t xml:space="preserve"> outcomes in suitable family matters than the current path — and to gather the evidence needed to decide whether to scale.</w:t>
      </w:r>
    </w:p>
    <w:p>
      <w:pPr>
        <w:keepNext/>
        <w:spacing w:before="200" w:after="60"/>
      </w:pPr>
      <w:r>
        <w:rPr>
          <w:rFonts w:ascii="Calibri" w:hAnsi="Calibri"/>
          <w:b/>
          <w:i w:val="0"/>
          <w:color w:val="1E7A8C"/>
          <w:sz w:val="25"/>
        </w:rPr>
        <w:t>Scope &amp; design</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B4F"/>
          </w:tcPr>
          <w:p>
            <w:r/>
            <w:r>
              <w:rPr>
                <w:rFonts w:ascii="Calibri" w:hAnsi="Calibri"/>
                <w:b/>
                <w:i w:val="0"/>
                <w:color w:val="FFFFFF"/>
                <w:sz w:val="17"/>
              </w:rPr>
              <w:t>Parameter</w:t>
            </w:r>
          </w:p>
        </w:tc>
        <w:tc>
          <w:tcPr>
            <w:tcW w:type="dxa" w:w="7200"/>
            <w:shd w:val="clear" w:fill="123B4F"/>
          </w:tcPr>
          <w:p>
            <w:r/>
            <w:r>
              <w:rPr>
                <w:rFonts w:ascii="Calibri" w:hAnsi="Calibri"/>
                <w:b/>
                <w:i w:val="0"/>
                <w:color w:val="FFFFFF"/>
                <w:sz w:val="17"/>
              </w:rPr>
              <w:t>Pilot design</w:t>
            </w:r>
          </w:p>
        </w:tc>
      </w:tr>
      <w:tr>
        <w:tc>
          <w:tcPr>
            <w:tcW w:type="dxa" w:w="2304"/>
          </w:tcPr>
          <w:p>
            <w:r/>
            <w:r>
              <w:rPr>
                <w:rFonts w:ascii="Calibri" w:hAnsi="Calibri"/>
                <w:b w:val="0"/>
                <w:i w:val="0"/>
                <w:color w:val="1B2A32"/>
                <w:sz w:val="17"/>
              </w:rPr>
              <w:t>Sites</w:t>
            </w:r>
          </w:p>
        </w:tc>
        <w:tc>
          <w:tcPr>
            <w:tcW w:type="dxa" w:w="7200"/>
          </w:tcPr>
          <w:p>
            <w:r/>
            <w:r>
              <w:rPr>
                <w:rFonts w:ascii="Calibri" w:hAnsi="Calibri"/>
                <w:b w:val="0"/>
                <w:i w:val="0"/>
                <w:color w:val="1B2A32"/>
                <w:sz w:val="17"/>
              </w:rPr>
              <w:t>1–2 Family Courts (one metro, one non-metro if possible)</w:t>
            </w:r>
          </w:p>
        </w:tc>
      </w:tr>
      <w:tr>
        <w:tc>
          <w:tcPr>
            <w:tcW w:type="dxa" w:w="2304"/>
            <w:shd w:val="clear" w:fill="F3F7F9"/>
          </w:tcPr>
          <w:p>
            <w:r/>
            <w:r>
              <w:rPr>
                <w:rFonts w:ascii="Calibri" w:hAnsi="Calibri"/>
                <w:b w:val="0"/>
                <w:i w:val="0"/>
                <w:color w:val="1B2A32"/>
                <w:sz w:val="17"/>
              </w:rPr>
              <w:t>Duration</w:t>
            </w:r>
          </w:p>
        </w:tc>
        <w:tc>
          <w:tcPr>
            <w:tcW w:type="dxa" w:w="7200"/>
            <w:shd w:val="clear" w:fill="F3F7F9"/>
          </w:tcPr>
          <w:p>
            <w:r/>
            <w:r>
              <w:rPr>
                <w:rFonts w:ascii="Calibri" w:hAnsi="Calibri"/>
                <w:b w:val="0"/>
                <w:i w:val="0"/>
                <w:color w:val="1B2A32"/>
                <w:sz w:val="17"/>
              </w:rPr>
              <w:t>6 months of referrals, plus 6 months' follow-up for durability</w:t>
            </w:r>
          </w:p>
        </w:tc>
      </w:tr>
      <w:tr>
        <w:tc>
          <w:tcPr>
            <w:tcW w:type="dxa" w:w="2304"/>
          </w:tcPr>
          <w:p>
            <w:r/>
            <w:r>
              <w:rPr>
                <w:rFonts w:ascii="Calibri" w:hAnsi="Calibri"/>
                <w:b w:val="0"/>
                <w:i w:val="0"/>
                <w:color w:val="1B2A32"/>
                <w:sz w:val="17"/>
              </w:rPr>
              <w:t>Volume</w:t>
            </w:r>
          </w:p>
        </w:tc>
        <w:tc>
          <w:tcPr>
            <w:tcW w:type="dxa" w:w="7200"/>
          </w:tcPr>
          <w:p>
            <w:r/>
            <w:r>
              <w:rPr>
                <w:rFonts w:ascii="Calibri" w:hAnsi="Calibri"/>
                <w:b w:val="0"/>
                <w:i w:val="0"/>
                <w:color w:val="1B2A32"/>
                <w:sz w:val="17"/>
              </w:rPr>
              <w:t>Target 80–120 referred matters across sites</w:t>
            </w:r>
          </w:p>
        </w:tc>
      </w:tr>
      <w:tr>
        <w:tc>
          <w:tcPr>
            <w:tcW w:type="dxa" w:w="2304"/>
            <w:shd w:val="clear" w:fill="F3F7F9"/>
          </w:tcPr>
          <w:p>
            <w:r/>
            <w:r>
              <w:rPr>
                <w:rFonts w:ascii="Calibri" w:hAnsi="Calibri"/>
                <w:b w:val="0"/>
                <w:i w:val="0"/>
                <w:color w:val="1B2A32"/>
                <w:sz w:val="17"/>
              </w:rPr>
              <w:t>Matter types</w:t>
            </w:r>
          </w:p>
        </w:tc>
        <w:tc>
          <w:tcPr>
            <w:tcW w:type="dxa" w:w="7200"/>
            <w:shd w:val="clear" w:fill="F3F7F9"/>
          </w:tcPr>
          <w:p>
            <w:r/>
            <w:r>
              <w:rPr>
                <w:rFonts w:ascii="Calibri" w:hAnsi="Calibri"/>
                <w:b w:val="0"/>
                <w:i w:val="0"/>
                <w:color w:val="1B2A32"/>
                <w:sz w:val="17"/>
              </w:rPr>
              <w:t>Mutual-consent divorce; maintenance; custody &amp; parenting; matrimonial property</w:t>
            </w:r>
          </w:p>
        </w:tc>
      </w:tr>
      <w:tr>
        <w:tc>
          <w:tcPr>
            <w:tcW w:type="dxa" w:w="2304"/>
          </w:tcPr>
          <w:p>
            <w:r/>
            <w:r>
              <w:rPr>
                <w:rFonts w:ascii="Calibri" w:hAnsi="Calibri"/>
                <w:b w:val="0"/>
                <w:i w:val="0"/>
                <w:color w:val="1B2A32"/>
                <w:sz w:val="17"/>
              </w:rPr>
              <w:t>Exclusions</w:t>
            </w:r>
          </w:p>
        </w:tc>
        <w:tc>
          <w:tcPr>
            <w:tcW w:type="dxa" w:w="7200"/>
          </w:tcPr>
          <w:p>
            <w:r/>
            <w:r>
              <w:rPr>
                <w:rFonts w:ascii="Calibri" w:hAnsi="Calibri"/>
                <w:b w:val="0"/>
                <w:i w:val="0"/>
                <w:color w:val="1B2A32"/>
                <w:sz w:val="17"/>
              </w:rPr>
              <w:t>Matters the Court considers unsuitable; those where screening indicates risk that cannot be safeguarded</w:t>
            </w:r>
          </w:p>
        </w:tc>
      </w:tr>
      <w:tr>
        <w:tc>
          <w:tcPr>
            <w:tcW w:type="dxa" w:w="2304"/>
            <w:shd w:val="clear" w:fill="F3F7F9"/>
          </w:tcPr>
          <w:p>
            <w:r/>
            <w:r>
              <w:rPr>
                <w:rFonts w:ascii="Calibri" w:hAnsi="Calibri"/>
                <w:b w:val="0"/>
                <w:i w:val="0"/>
                <w:color w:val="1B2A32"/>
                <w:sz w:val="17"/>
              </w:rPr>
              <w:t>Comparison</w:t>
            </w:r>
          </w:p>
        </w:tc>
        <w:tc>
          <w:tcPr>
            <w:tcW w:type="dxa" w:w="7200"/>
            <w:shd w:val="clear" w:fill="F3F7F9"/>
          </w:tcPr>
          <w:p>
            <w:r/>
            <w:r>
              <w:rPr>
                <w:rFonts w:ascii="Calibri" w:hAnsi="Calibri"/>
                <w:b w:val="0"/>
                <w:i w:val="0"/>
                <w:color w:val="1B2A32"/>
                <w:sz w:val="17"/>
              </w:rPr>
              <w:t>Baseline drawn from comparable matters in the preceding period at the same court</w:t>
            </w:r>
          </w:p>
        </w:tc>
      </w:tr>
      <w:tr>
        <w:tc>
          <w:tcPr>
            <w:tcW w:type="dxa" w:w="2304"/>
          </w:tcPr>
          <w:p>
            <w:r/>
            <w:r>
              <w:rPr>
                <w:rFonts w:ascii="Calibri" w:hAnsi="Calibri"/>
                <w:b w:val="0"/>
                <w:i w:val="0"/>
                <w:color w:val="1B2A32"/>
                <w:sz w:val="17"/>
              </w:rPr>
              <w:t>Cost to parties</w:t>
            </w:r>
          </w:p>
        </w:tc>
        <w:tc>
          <w:tcPr>
            <w:tcW w:type="dxa" w:w="7200"/>
          </w:tcPr>
          <w:p>
            <w:r/>
            <w:r>
              <w:rPr>
                <w:rFonts w:ascii="Calibri" w:hAnsi="Calibri"/>
                <w:b w:val="0"/>
                <w:i w:val="0"/>
                <w:color w:val="1B2A32"/>
                <w:sz w:val="17"/>
              </w:rPr>
              <w:t>Nil or concessional; funded by the Institution for the pilot</w:t>
            </w:r>
          </w:p>
        </w:tc>
      </w:tr>
    </w:tbl>
    <w:p>
      <w:pPr>
        <w:spacing w:after="40"/>
      </w:pPr>
    </w:p>
    <w:p>
      <w:pPr>
        <w:keepNext/>
        <w:spacing w:before="200" w:after="60"/>
      </w:pPr>
      <w:r>
        <w:rPr>
          <w:rFonts w:ascii="Calibri" w:hAnsi="Calibri"/>
          <w:b/>
          <w:i w:val="0"/>
          <w:color w:val="1E7A8C"/>
          <w:sz w:val="25"/>
        </w:rPr>
        <w:t>Success criteria</w:t>
      </w:r>
    </w:p>
    <w:tbl>
      <w:tblPr>
        <w:tblStyle w:val="TableGrid"/>
        <w:tblW w:type="auto" w:w="0"/>
        <w:jc w:val="center"/>
        <w:tblLook w:firstColumn="1" w:firstRow="1" w:lastColumn="0" w:lastRow="0" w:noHBand="0" w:noVBand="1" w:val="04A0"/>
      </w:tblPr>
      <w:tblGrid>
        <w:gridCol w:w="3168"/>
        <w:gridCol w:w="3168"/>
        <w:gridCol w:w="3168"/>
      </w:tblGrid>
      <w:tr>
        <w:tc>
          <w:tcPr>
            <w:tcW w:type="dxa" w:w="3456"/>
            <w:shd w:val="clear" w:fill="123B4F"/>
          </w:tcPr>
          <w:p>
            <w:r/>
            <w:r>
              <w:rPr>
                <w:rFonts w:ascii="Calibri" w:hAnsi="Calibri"/>
                <w:b/>
                <w:i w:val="0"/>
                <w:color w:val="FFFFFF"/>
                <w:sz w:val="17"/>
              </w:rPr>
              <w:t>Measure</w:t>
            </w:r>
          </w:p>
        </w:tc>
        <w:tc>
          <w:tcPr>
            <w:tcW w:type="dxa" w:w="2016"/>
            <w:shd w:val="clear" w:fill="123B4F"/>
          </w:tcPr>
          <w:p>
            <w:r/>
            <w:r>
              <w:rPr>
                <w:rFonts w:ascii="Calibri" w:hAnsi="Calibri"/>
                <w:b/>
                <w:i w:val="0"/>
                <w:color w:val="FFFFFF"/>
                <w:sz w:val="17"/>
              </w:rPr>
              <w:t>Target</w:t>
            </w:r>
          </w:p>
        </w:tc>
        <w:tc>
          <w:tcPr>
            <w:tcW w:type="dxa" w:w="4032"/>
            <w:shd w:val="clear" w:fill="123B4F"/>
          </w:tcPr>
          <w:p>
            <w:r/>
            <w:r>
              <w:rPr>
                <w:rFonts w:ascii="Calibri" w:hAnsi="Calibri"/>
                <w:b/>
                <w:i w:val="0"/>
                <w:color w:val="FFFFFF"/>
                <w:sz w:val="17"/>
              </w:rPr>
              <w:t>How measured</w:t>
            </w:r>
          </w:p>
        </w:tc>
      </w:tr>
      <w:tr>
        <w:tc>
          <w:tcPr>
            <w:tcW w:type="dxa" w:w="3456"/>
          </w:tcPr>
          <w:p>
            <w:r/>
            <w:r>
              <w:rPr>
                <w:rFonts w:ascii="Calibri" w:hAnsi="Calibri"/>
                <w:b w:val="0"/>
                <w:i w:val="0"/>
                <w:color w:val="1B2A32"/>
                <w:sz w:val="17"/>
              </w:rPr>
              <w:t>Settlement rate (full or partial)</w:t>
            </w:r>
          </w:p>
        </w:tc>
        <w:tc>
          <w:tcPr>
            <w:tcW w:type="dxa" w:w="2016"/>
          </w:tcPr>
          <w:p>
            <w:r/>
            <w:r>
              <w:rPr>
                <w:rFonts w:ascii="Calibri" w:hAnsi="Calibri"/>
                <w:b w:val="0"/>
                <w:i w:val="0"/>
                <w:color w:val="1B2A32"/>
                <w:sz w:val="17"/>
              </w:rPr>
              <w:t>≥ 45%</w:t>
            </w:r>
          </w:p>
        </w:tc>
        <w:tc>
          <w:tcPr>
            <w:tcW w:type="dxa" w:w="4032"/>
          </w:tcPr>
          <w:p>
            <w:r/>
            <w:r>
              <w:rPr>
                <w:rFonts w:ascii="Calibri" w:hAnsi="Calibri"/>
                <w:b w:val="0"/>
                <w:i w:val="0"/>
                <w:color w:val="1B2A32"/>
                <w:sz w:val="17"/>
              </w:rPr>
              <w:t>Case records</w:t>
            </w:r>
          </w:p>
        </w:tc>
      </w:tr>
      <w:tr>
        <w:tc>
          <w:tcPr>
            <w:tcW w:type="dxa" w:w="3456"/>
            <w:shd w:val="clear" w:fill="F3F7F9"/>
          </w:tcPr>
          <w:p>
            <w:r/>
            <w:r>
              <w:rPr>
                <w:rFonts w:ascii="Calibri" w:hAnsi="Calibri"/>
                <w:b w:val="0"/>
                <w:i w:val="0"/>
                <w:color w:val="1B2A32"/>
                <w:sz w:val="17"/>
              </w:rPr>
              <w:t>Median time from referral to outcome</w:t>
            </w:r>
          </w:p>
        </w:tc>
        <w:tc>
          <w:tcPr>
            <w:tcW w:type="dxa" w:w="2016"/>
            <w:shd w:val="clear" w:fill="F3F7F9"/>
          </w:tcPr>
          <w:p>
            <w:r/>
            <w:r>
              <w:rPr>
                <w:rFonts w:ascii="Calibri" w:hAnsi="Calibri"/>
                <w:b w:val="0"/>
                <w:i w:val="0"/>
                <w:color w:val="1B2A32"/>
                <w:sz w:val="17"/>
              </w:rPr>
              <w:t>≤ 60 days</w:t>
            </w:r>
          </w:p>
        </w:tc>
        <w:tc>
          <w:tcPr>
            <w:tcW w:type="dxa" w:w="4032"/>
            <w:shd w:val="clear" w:fill="F3F7F9"/>
          </w:tcPr>
          <w:p>
            <w:r/>
            <w:r>
              <w:rPr>
                <w:rFonts w:ascii="Calibri" w:hAnsi="Calibri"/>
                <w:b w:val="0"/>
                <w:i w:val="0"/>
                <w:color w:val="1B2A32"/>
                <w:sz w:val="17"/>
              </w:rPr>
              <w:t>Case records vs baseline</w:t>
            </w:r>
          </w:p>
        </w:tc>
      </w:tr>
      <w:tr>
        <w:tc>
          <w:tcPr>
            <w:tcW w:type="dxa" w:w="3456"/>
          </w:tcPr>
          <w:p>
            <w:r/>
            <w:r>
              <w:rPr>
                <w:rFonts w:ascii="Calibri" w:hAnsi="Calibri"/>
                <w:b w:val="0"/>
                <w:i w:val="0"/>
                <w:color w:val="1B2A32"/>
                <w:sz w:val="17"/>
              </w:rPr>
              <w:t>Durability at 6 months</w:t>
            </w:r>
          </w:p>
        </w:tc>
        <w:tc>
          <w:tcPr>
            <w:tcW w:type="dxa" w:w="2016"/>
          </w:tcPr>
          <w:p>
            <w:r/>
            <w:r>
              <w:rPr>
                <w:rFonts w:ascii="Calibri" w:hAnsi="Calibri"/>
                <w:b w:val="0"/>
                <w:i w:val="0"/>
                <w:color w:val="1B2A32"/>
                <w:sz w:val="17"/>
              </w:rPr>
              <w:t>≥ 85% of settlements holding</w:t>
            </w:r>
          </w:p>
        </w:tc>
        <w:tc>
          <w:tcPr>
            <w:tcW w:type="dxa" w:w="4032"/>
          </w:tcPr>
          <w:p>
            <w:r/>
            <w:r>
              <w:rPr>
                <w:rFonts w:ascii="Calibri" w:hAnsi="Calibri"/>
                <w:b w:val="0"/>
                <w:i w:val="0"/>
                <w:color w:val="1B2A32"/>
                <w:sz w:val="17"/>
              </w:rPr>
              <w:t>Follow-up contact / compliance tracker</w:t>
            </w:r>
          </w:p>
        </w:tc>
      </w:tr>
      <w:tr>
        <w:tc>
          <w:tcPr>
            <w:tcW w:type="dxa" w:w="3456"/>
            <w:shd w:val="clear" w:fill="F3F7F9"/>
          </w:tcPr>
          <w:p>
            <w:r/>
            <w:r>
              <w:rPr>
                <w:rFonts w:ascii="Calibri" w:hAnsi="Calibri"/>
                <w:b w:val="0"/>
                <w:i w:val="0"/>
                <w:color w:val="1B2A32"/>
                <w:sz w:val="17"/>
              </w:rPr>
              <w:t>Party-reported fairness</w:t>
            </w:r>
          </w:p>
        </w:tc>
        <w:tc>
          <w:tcPr>
            <w:tcW w:type="dxa" w:w="2016"/>
            <w:shd w:val="clear" w:fill="F3F7F9"/>
          </w:tcPr>
          <w:p>
            <w:r/>
            <w:r>
              <w:rPr>
                <w:rFonts w:ascii="Calibri" w:hAnsi="Calibri"/>
                <w:b w:val="0"/>
                <w:i w:val="0"/>
                <w:color w:val="1B2A32"/>
                <w:sz w:val="17"/>
              </w:rPr>
              <w:t>≥ 4.0 / 5</w:t>
            </w:r>
          </w:p>
        </w:tc>
        <w:tc>
          <w:tcPr>
            <w:tcW w:type="dxa" w:w="4032"/>
            <w:shd w:val="clear" w:fill="F3F7F9"/>
          </w:tcPr>
          <w:p>
            <w:r/>
            <w:r>
              <w:rPr>
                <w:rFonts w:ascii="Calibri" w:hAnsi="Calibri"/>
                <w:b w:val="0"/>
                <w:i w:val="0"/>
                <w:color w:val="1B2A32"/>
                <w:sz w:val="17"/>
              </w:rPr>
              <w:t>Anonymous exit survey, both parties</w:t>
            </w:r>
          </w:p>
        </w:tc>
      </w:tr>
      <w:tr>
        <w:tc>
          <w:tcPr>
            <w:tcW w:type="dxa" w:w="3456"/>
          </w:tcPr>
          <w:p>
            <w:r/>
            <w:r>
              <w:rPr>
                <w:rFonts w:ascii="Calibri" w:hAnsi="Calibri"/>
                <w:b w:val="0"/>
                <w:i w:val="0"/>
                <w:color w:val="1B2A32"/>
                <w:sz w:val="17"/>
              </w:rPr>
              <w:t>Party-reported safety</w:t>
            </w:r>
          </w:p>
        </w:tc>
        <w:tc>
          <w:tcPr>
            <w:tcW w:type="dxa" w:w="2016"/>
          </w:tcPr>
          <w:p>
            <w:r/>
            <w:r>
              <w:rPr>
                <w:rFonts w:ascii="Calibri" w:hAnsi="Calibri"/>
                <w:b w:val="0"/>
                <w:i w:val="0"/>
                <w:color w:val="1B2A32"/>
                <w:sz w:val="17"/>
              </w:rPr>
              <w:t>No party reports feeling unsafe or pressured</w:t>
            </w:r>
          </w:p>
        </w:tc>
        <w:tc>
          <w:tcPr>
            <w:tcW w:type="dxa" w:w="4032"/>
          </w:tcPr>
          <w:p>
            <w:r/>
            <w:r>
              <w:rPr>
                <w:rFonts w:ascii="Calibri" w:hAnsi="Calibri"/>
                <w:b w:val="0"/>
                <w:i w:val="0"/>
                <w:color w:val="1B2A32"/>
                <w:sz w:val="17"/>
              </w:rPr>
              <w:t>Exit survey + screening records</w:t>
            </w:r>
          </w:p>
        </w:tc>
      </w:tr>
      <w:tr>
        <w:tc>
          <w:tcPr>
            <w:tcW w:type="dxa" w:w="3456"/>
            <w:shd w:val="clear" w:fill="F3F7F9"/>
          </w:tcPr>
          <w:p>
            <w:r/>
            <w:r>
              <w:rPr>
                <w:rFonts w:ascii="Calibri" w:hAnsi="Calibri"/>
                <w:b w:val="0"/>
                <w:i w:val="0"/>
                <w:color w:val="1B2A32"/>
                <w:sz w:val="17"/>
              </w:rPr>
              <w:t>Child-focus quality</w:t>
            </w:r>
          </w:p>
        </w:tc>
        <w:tc>
          <w:tcPr>
            <w:tcW w:type="dxa" w:w="2016"/>
            <w:shd w:val="clear" w:fill="F3F7F9"/>
          </w:tcPr>
          <w:p>
            <w:r/>
            <w:r>
              <w:rPr>
                <w:rFonts w:ascii="Calibri" w:hAnsi="Calibri"/>
                <w:b w:val="0"/>
                <w:i w:val="0"/>
                <w:color w:val="1B2A32"/>
                <w:sz w:val="17"/>
              </w:rPr>
              <w:t>Parenting plan in ≥ 90% of child matters</w:t>
            </w:r>
          </w:p>
        </w:tc>
        <w:tc>
          <w:tcPr>
            <w:tcW w:type="dxa" w:w="4032"/>
            <w:shd w:val="clear" w:fill="F3F7F9"/>
          </w:tcPr>
          <w:p>
            <w:r/>
            <w:r>
              <w:rPr>
                <w:rFonts w:ascii="Calibri" w:hAnsi="Calibri"/>
                <w:b w:val="0"/>
                <w:i w:val="0"/>
                <w:color w:val="1B2A32"/>
                <w:sz w:val="17"/>
              </w:rPr>
              <w:t>Document audit</w:t>
            </w:r>
          </w:p>
        </w:tc>
      </w:tr>
      <w:tr>
        <w:tc>
          <w:tcPr>
            <w:tcW w:type="dxa" w:w="3456"/>
          </w:tcPr>
          <w:p>
            <w:r/>
            <w:r>
              <w:rPr>
                <w:rFonts w:ascii="Calibri" w:hAnsi="Calibri"/>
                <w:b w:val="0"/>
                <w:i w:val="0"/>
                <w:color w:val="1B2A32"/>
                <w:sz w:val="17"/>
              </w:rPr>
              <w:t>Court satisfaction</w:t>
            </w:r>
          </w:p>
        </w:tc>
        <w:tc>
          <w:tcPr>
            <w:tcW w:type="dxa" w:w="2016"/>
          </w:tcPr>
          <w:p>
            <w:r/>
            <w:r>
              <w:rPr>
                <w:rFonts w:ascii="Calibri" w:hAnsi="Calibri"/>
                <w:b w:val="0"/>
                <w:i w:val="0"/>
                <w:color w:val="1B2A32"/>
                <w:sz w:val="17"/>
              </w:rPr>
              <w:t>Positive; willingness to continue</w:t>
            </w:r>
          </w:p>
        </w:tc>
        <w:tc>
          <w:tcPr>
            <w:tcW w:type="dxa" w:w="4032"/>
          </w:tcPr>
          <w:p>
            <w:r/>
            <w:r>
              <w:rPr>
                <w:rFonts w:ascii="Calibri" w:hAnsi="Calibri"/>
                <w:b w:val="0"/>
                <w:i w:val="0"/>
                <w:color w:val="1B2A32"/>
                <w:sz w:val="17"/>
              </w:rPr>
              <w:t>Structured interview with judges and staff</w:t>
            </w:r>
          </w:p>
        </w:tc>
      </w:tr>
      <w:tr>
        <w:tc>
          <w:tcPr>
            <w:tcW w:type="dxa" w:w="3456"/>
            <w:shd w:val="clear" w:fill="F3F7F9"/>
          </w:tcPr>
          <w:p>
            <w:r/>
            <w:r>
              <w:rPr>
                <w:rFonts w:ascii="Calibri" w:hAnsi="Calibri"/>
                <w:b w:val="0"/>
                <w:i w:val="0"/>
                <w:color w:val="1B2A32"/>
                <w:sz w:val="17"/>
              </w:rPr>
              <w:t>Cost per matter</w:t>
            </w:r>
          </w:p>
        </w:tc>
        <w:tc>
          <w:tcPr>
            <w:tcW w:type="dxa" w:w="2016"/>
            <w:shd w:val="clear" w:fill="F3F7F9"/>
          </w:tcPr>
          <w:p>
            <w:r/>
            <w:r>
              <w:rPr>
                <w:rFonts w:ascii="Calibri" w:hAnsi="Calibri"/>
                <w:b w:val="0"/>
                <w:i w:val="0"/>
                <w:color w:val="1B2A32"/>
                <w:sz w:val="17"/>
              </w:rPr>
              <w:t>Within modelled unit economics</w:t>
            </w:r>
          </w:p>
        </w:tc>
        <w:tc>
          <w:tcPr>
            <w:tcW w:type="dxa" w:w="4032"/>
            <w:shd w:val="clear" w:fill="F3F7F9"/>
          </w:tcPr>
          <w:p>
            <w:r/>
            <w:r>
              <w:rPr>
                <w:rFonts w:ascii="Calibri" w:hAnsi="Calibri"/>
                <w:b w:val="0"/>
                <w:i w:val="0"/>
                <w:color w:val="1B2A32"/>
                <w:sz w:val="17"/>
              </w:rPr>
              <w:t>Finance records</w:t>
            </w:r>
          </w:p>
        </w:tc>
      </w:tr>
    </w:tbl>
    <w:p>
      <w:pPr>
        <w:spacing w:after="40"/>
      </w:pPr>
    </w:p>
    <w:p>
      <w:pPr>
        <w:keepNext/>
        <w:spacing w:before="200" w:after="60"/>
      </w:pPr>
      <w:r>
        <w:rPr>
          <w:rFonts w:ascii="Calibri" w:hAnsi="Calibri"/>
          <w:b/>
          <w:i w:val="0"/>
          <w:color w:val="1E7A8C"/>
          <w:sz w:val="25"/>
        </w:rPr>
        <w:t>Governance &amp; evaluation</w:t>
      </w:r>
    </w:p>
    <w:p>
      <w:pPr>
        <w:pStyle w:val="ListBullet"/>
        <w:spacing w:after="60"/>
        <w:jc w:val="both"/>
      </w:pPr>
      <w:r>
        <w:rPr>
          <w:rFonts w:ascii="Calibri" w:hAnsi="Calibri"/>
          <w:b w:val="0"/>
          <w:i w:val="0"/>
          <w:color w:val="1B2A32"/>
          <w:sz w:val="21"/>
        </w:rPr>
        <w:t xml:space="preserve">A </w:t>
      </w:r>
      <w:r>
        <w:rPr>
          <w:rFonts w:ascii="Calibri" w:hAnsi="Calibri"/>
          <w:b/>
          <w:i w:val="0"/>
          <w:color w:val="1B2A32"/>
          <w:sz w:val="21"/>
        </w:rPr>
        <w:t>joint steering group</w:t>
      </w:r>
      <w:r>
        <w:rPr>
          <w:rFonts w:ascii="Calibri" w:hAnsi="Calibri"/>
          <w:b w:val="0"/>
          <w:i w:val="0"/>
          <w:color w:val="1B2A32"/>
          <w:sz w:val="21"/>
        </w:rPr>
        <w:t xml:space="preserve"> (court liaison, Institution lead, an independent evaluator) meets monthly.</w:t>
      </w:r>
    </w:p>
    <w:p>
      <w:pPr>
        <w:pStyle w:val="ListBullet"/>
        <w:spacing w:after="60"/>
        <w:jc w:val="both"/>
      </w:pPr>
      <w:r>
        <w:rPr>
          <w:rFonts w:ascii="Calibri" w:hAnsi="Calibri"/>
          <w:b/>
          <w:i w:val="0"/>
          <w:color w:val="1B2A32"/>
          <w:sz w:val="21"/>
        </w:rPr>
        <w:t>Independent evaluation</w:t>
      </w:r>
      <w:r>
        <w:rPr>
          <w:rFonts w:ascii="Calibri" w:hAnsi="Calibri"/>
          <w:b w:val="0"/>
          <w:i w:val="0"/>
          <w:color w:val="1B2A32"/>
          <w:sz w:val="21"/>
        </w:rPr>
        <w:t xml:space="preserve"> — an academic or civil-society partner reviews the data and writes the report; the Institution does not mark its own homework.</w:t>
      </w:r>
    </w:p>
    <w:p>
      <w:pPr>
        <w:pStyle w:val="ListBullet"/>
        <w:spacing w:after="60"/>
        <w:jc w:val="both"/>
      </w:pPr>
      <w:r>
        <w:rPr>
          <w:rFonts w:ascii="Calibri" w:hAnsi="Calibri"/>
          <w:b/>
          <w:i w:val="0"/>
          <w:color w:val="1B2A32"/>
          <w:sz w:val="21"/>
        </w:rPr>
        <w:t>Ethics</w:t>
      </w:r>
      <w:r>
        <w:rPr>
          <w:rFonts w:ascii="Calibri" w:hAnsi="Calibri"/>
          <w:b w:val="0"/>
          <w:i w:val="0"/>
          <w:color w:val="1B2A32"/>
          <w:sz w:val="21"/>
        </w:rPr>
        <w:t xml:space="preserve"> — informed consent for data use; anonymised reporting; no case identifiers published.</w:t>
      </w:r>
    </w:p>
    <w:p>
      <w:pPr>
        <w:pStyle w:val="ListBullet"/>
        <w:spacing w:after="60"/>
        <w:jc w:val="both"/>
      </w:pPr>
      <w:r>
        <w:rPr>
          <w:rFonts w:ascii="Calibri" w:hAnsi="Calibri"/>
          <w:b/>
          <w:i w:val="0"/>
          <w:color w:val="1B2A32"/>
          <w:sz w:val="21"/>
        </w:rPr>
        <w:t>Stop conditions</w:t>
      </w:r>
      <w:r>
        <w:rPr>
          <w:rFonts w:ascii="Calibri" w:hAnsi="Calibri"/>
          <w:b w:val="0"/>
          <w:i w:val="0"/>
          <w:color w:val="1B2A32"/>
          <w:sz w:val="21"/>
        </w:rPr>
        <w:t xml:space="preserve"> — the pilot pauses immediately if a safety incident occurs, if settlement quality is poor, or if the Court asks.</w:t>
      </w:r>
    </w:p>
    <w:p>
      <w:pPr>
        <w:keepNext/>
        <w:spacing w:before="200" w:after="60"/>
      </w:pPr>
      <w:r>
        <w:rPr>
          <w:rFonts w:ascii="Calibri" w:hAnsi="Calibri"/>
          <w:b/>
          <w:i w:val="0"/>
          <w:color w:val="1E7A8C"/>
          <w:sz w:val="25"/>
        </w:rPr>
        <w:t>Risks and mitigations</w:t>
      </w:r>
    </w:p>
    <w:tbl>
      <w:tblPr>
        <w:tblStyle w:val="TableGrid"/>
        <w:tblW w:type="auto" w:w="0"/>
        <w:jc w:val="center"/>
        <w:tblLook w:firstColumn="1" w:firstRow="1" w:lastColumn="0" w:lastRow="0" w:noHBand="0" w:noVBand="1" w:val="04A0"/>
      </w:tblPr>
      <w:tblGrid>
        <w:gridCol w:w="4752"/>
        <w:gridCol w:w="4752"/>
      </w:tblGrid>
      <w:tr>
        <w:tc>
          <w:tcPr>
            <w:tcW w:type="dxa" w:w="3744"/>
            <w:shd w:val="clear" w:fill="123B4F"/>
          </w:tcPr>
          <w:p>
            <w:r/>
            <w:r>
              <w:rPr>
                <w:rFonts w:ascii="Calibri" w:hAnsi="Calibri"/>
                <w:b/>
                <w:i w:val="0"/>
                <w:color w:val="FFFFFF"/>
                <w:sz w:val="17"/>
              </w:rPr>
              <w:t>Risk</w:t>
            </w:r>
          </w:p>
        </w:tc>
        <w:tc>
          <w:tcPr>
            <w:tcW w:type="dxa" w:w="5760"/>
            <w:shd w:val="clear" w:fill="123B4F"/>
          </w:tcPr>
          <w:p>
            <w:r/>
            <w:r>
              <w:rPr>
                <w:rFonts w:ascii="Calibri" w:hAnsi="Calibri"/>
                <w:b/>
                <w:i w:val="0"/>
                <w:color w:val="FFFFFF"/>
                <w:sz w:val="17"/>
              </w:rPr>
              <w:t>Mitigation</w:t>
            </w:r>
          </w:p>
        </w:tc>
      </w:tr>
      <w:tr>
        <w:tc>
          <w:tcPr>
            <w:tcW w:type="dxa" w:w="3744"/>
          </w:tcPr>
          <w:p>
            <w:r/>
            <w:r>
              <w:rPr>
                <w:rFonts w:ascii="Calibri" w:hAnsi="Calibri"/>
                <w:b w:val="0"/>
                <w:i w:val="0"/>
                <w:color w:val="1B2A32"/>
                <w:sz w:val="17"/>
              </w:rPr>
              <w:t>Referral volume too low</w:t>
            </w:r>
          </w:p>
        </w:tc>
        <w:tc>
          <w:tcPr>
            <w:tcW w:type="dxa" w:w="5760"/>
          </w:tcPr>
          <w:p>
            <w:r/>
            <w:r>
              <w:rPr>
                <w:rFonts w:ascii="Calibri" w:hAnsi="Calibri"/>
                <w:b w:val="0"/>
                <w:i w:val="0"/>
                <w:color w:val="1B2A32"/>
                <w:sz w:val="17"/>
              </w:rPr>
              <w:t>Court orientation; simple referral form; regular liaison</w:t>
            </w:r>
          </w:p>
        </w:tc>
      </w:tr>
      <w:tr>
        <w:tc>
          <w:tcPr>
            <w:tcW w:type="dxa" w:w="3744"/>
            <w:shd w:val="clear" w:fill="F3F7F9"/>
          </w:tcPr>
          <w:p>
            <w:r/>
            <w:r>
              <w:rPr>
                <w:rFonts w:ascii="Calibri" w:hAnsi="Calibri"/>
                <w:b w:val="0"/>
                <w:i w:val="0"/>
                <w:color w:val="1B2A32"/>
                <w:sz w:val="17"/>
              </w:rPr>
              <w:t>Unsuitable matters referred</w:t>
            </w:r>
          </w:p>
        </w:tc>
        <w:tc>
          <w:tcPr>
            <w:tcW w:type="dxa" w:w="5760"/>
            <w:shd w:val="clear" w:fill="F3F7F9"/>
          </w:tcPr>
          <w:p>
            <w:r/>
            <w:r>
              <w:rPr>
                <w:rFonts w:ascii="Calibri" w:hAnsi="Calibri"/>
                <w:b w:val="0"/>
                <w:i w:val="0"/>
                <w:color w:val="1B2A32"/>
                <w:sz w:val="17"/>
              </w:rPr>
              <w:t>Clear scope; screening; a no-fault route to return a matter</w:t>
            </w:r>
          </w:p>
        </w:tc>
      </w:tr>
      <w:tr>
        <w:tc>
          <w:tcPr>
            <w:tcW w:type="dxa" w:w="3744"/>
          </w:tcPr>
          <w:p>
            <w:r/>
            <w:r>
              <w:rPr>
                <w:rFonts w:ascii="Calibri" w:hAnsi="Calibri"/>
                <w:b w:val="0"/>
                <w:i w:val="0"/>
                <w:color w:val="1B2A32"/>
                <w:sz w:val="17"/>
              </w:rPr>
              <w:t>Safety incident</w:t>
            </w:r>
          </w:p>
        </w:tc>
        <w:tc>
          <w:tcPr>
            <w:tcW w:type="dxa" w:w="5760"/>
          </w:tcPr>
          <w:p>
            <w:r/>
            <w:r>
              <w:rPr>
                <w:rFonts w:ascii="Calibri" w:hAnsi="Calibri"/>
                <w:b w:val="0"/>
                <w:i w:val="0"/>
                <w:color w:val="1B2A32"/>
                <w:sz w:val="17"/>
              </w:rPr>
              <w:t>Screening as condition precedent; safety flag; immediate escalation and pause</w:t>
            </w:r>
          </w:p>
        </w:tc>
      </w:tr>
      <w:tr>
        <w:tc>
          <w:tcPr>
            <w:tcW w:type="dxa" w:w="3744"/>
            <w:shd w:val="clear" w:fill="F3F7F9"/>
          </w:tcPr>
          <w:p>
            <w:r/>
            <w:r>
              <w:rPr>
                <w:rFonts w:ascii="Calibri" w:hAnsi="Calibri"/>
                <w:b w:val="0"/>
                <w:i w:val="0"/>
                <w:color w:val="1B2A32"/>
                <w:sz w:val="17"/>
              </w:rPr>
              <w:t>Settlements that do not hold</w:t>
            </w:r>
          </w:p>
        </w:tc>
        <w:tc>
          <w:tcPr>
            <w:tcW w:type="dxa" w:w="5760"/>
            <w:shd w:val="clear" w:fill="F3F7F9"/>
          </w:tcPr>
          <w:p>
            <w:r/>
            <w:r>
              <w:rPr>
                <w:rFonts w:ascii="Calibri" w:hAnsi="Calibri"/>
                <w:b w:val="0"/>
                <w:i w:val="0"/>
                <w:color w:val="1B2A32"/>
                <w:sz w:val="17"/>
              </w:rPr>
              <w:t>Quality drafting; independent-advice prompts; compliance tracking</w:t>
            </w:r>
          </w:p>
        </w:tc>
      </w:tr>
      <w:tr>
        <w:tc>
          <w:tcPr>
            <w:tcW w:type="dxa" w:w="3744"/>
          </w:tcPr>
          <w:p>
            <w:r/>
            <w:r>
              <w:rPr>
                <w:rFonts w:ascii="Calibri" w:hAnsi="Calibri"/>
                <w:b w:val="0"/>
                <w:i w:val="0"/>
                <w:color w:val="1B2A32"/>
                <w:sz w:val="17"/>
              </w:rPr>
              <w:t>Perception of privatising justice</w:t>
            </w:r>
          </w:p>
        </w:tc>
        <w:tc>
          <w:tcPr>
            <w:tcW w:type="dxa" w:w="5760"/>
          </w:tcPr>
          <w:p>
            <w:r/>
            <w:r>
              <w:rPr>
                <w:rFonts w:ascii="Calibri" w:hAnsi="Calibri"/>
                <w:b w:val="0"/>
                <w:i w:val="0"/>
                <w:color w:val="1B2A32"/>
                <w:sz w:val="17"/>
              </w:rPr>
              <w:t>Nil cost to parties; transparent reporting; the Court decides everything</w:t>
            </w:r>
          </w:p>
        </w:tc>
      </w:tr>
    </w:tbl>
    <w:p>
      <w:pPr>
        <w:spacing w:after="40"/>
      </w:pPr>
    </w:p>
    <w:p>
      <w:pPr>
        <w:keepNext/>
        <w:spacing w:before="200" w:after="60"/>
      </w:pPr>
      <w:r>
        <w:rPr>
          <w:rFonts w:ascii="Calibri" w:hAnsi="Calibri"/>
          <w:b/>
          <w:i w:val="0"/>
          <w:color w:val="1E7A8C"/>
          <w:sz w:val="25"/>
        </w:rPr>
        <w:t>Outputs</w:t>
      </w:r>
    </w:p>
    <w:p>
      <w:pPr>
        <w:spacing w:after="120"/>
        <w:jc w:val="both"/>
      </w:pPr>
      <w:r>
        <w:rPr>
          <w:rFonts w:ascii="Calibri" w:hAnsi="Calibri"/>
          <w:b w:val="0"/>
          <w:i w:val="0"/>
          <w:color w:val="1B2A32"/>
          <w:sz w:val="21"/>
        </w:rPr>
        <w:t>A published evaluation report; a refined referral protocol; a costed proposal for scaling; and the evidence base for the annual *State of Family Mediation in India* report.</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28589B-89E0-4D05-8637-FC76342E78B5}"/>
</file>

<file path=customXml/itemProps3.xml><?xml version="1.0" encoding="utf-8"?>
<ds:datastoreItem xmlns:ds="http://schemas.openxmlformats.org/officeDocument/2006/customXml" ds:itemID="{8C401C4C-EB42-4BBC-8CC3-915B8C9E0F71}"/>
</file>

<file path=customXml/itemProps4.xml><?xml version="1.0" encoding="utf-8"?>
<ds:datastoreItem xmlns:ds="http://schemas.openxmlformats.org/officeDocument/2006/customXml" ds:itemID="{3A41C110-D43C-4ED2-9264-4E36FB7B89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