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w:t>
      </w:r>
    </w:p>
    <w:p>
      <w:pPr>
        <w:pBdr>
          <w:top w:val="single" w:sz="14" w:space="6" w:color="C6A15B"/>
          <w:bottom w:val="single" w:sz="14" w:space="6" w:color="C6A15B"/>
        </w:pBdr>
      </w:pPr>
    </w:p>
    <w:p>
      <w:pPr>
        <w:spacing w:before="600"/>
        <w:jc w:val="center"/>
      </w:pPr>
      <w:r>
        <w:rPr>
          <w:rFonts w:ascii="Calibri" w:hAnsi="Calibri"/>
          <w:b/>
          <w:i w:val="0"/>
          <w:color w:val="123B4F"/>
          <w:sz w:val="48"/>
        </w:rPr>
        <w:t>Empanelment Bye-laws</w:t>
      </w:r>
    </w:p>
    <w:p>
      <w:pPr>
        <w:jc w:val="center"/>
      </w:pPr>
      <w:r>
        <w:rPr>
          <w:rFonts w:ascii="Calibri" w:hAnsi="Calibri"/>
          <w:b w:val="0"/>
          <w:i/>
          <w:color w:val="556168"/>
          <w:sz w:val="25"/>
        </w:rPr>
        <w:t>Eligibility, grading, conduct, review and removal of Equator family mediators</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Purpose &amp; authority</w:t>
      </w:r>
    </w:p>
    <w:p>
      <w:pPr>
        <w:spacing w:after="120"/>
        <w:jc w:val="both"/>
      </w:pPr>
      <w:r>
        <w:rPr>
          <w:rFonts w:ascii="Calibri" w:hAnsi="Calibri"/>
          <w:b w:val="0"/>
          <w:i w:val="0"/>
          <w:color w:val="1B2A32"/>
          <w:sz w:val="21"/>
        </w:rPr>
        <w:t xml:space="preserve">These Bye-laws govern admission to, and continuation on, the Equator panel of family mediators. They are made under the Rules of Mediation and are to be read with the Mediator Code of Conduct and, once notified, the standards of the </w:t>
      </w:r>
      <w:r>
        <w:rPr>
          <w:rFonts w:ascii="Calibri" w:hAnsi="Calibri"/>
          <w:b/>
          <w:i w:val="0"/>
          <w:color w:val="1B2A32"/>
          <w:sz w:val="21"/>
        </w:rPr>
        <w:t>Mediation Council of India</w:t>
      </w:r>
      <w:r>
        <w:rPr>
          <w:rFonts w:ascii="Calibri" w:hAnsi="Calibri"/>
          <w:b w:val="0"/>
          <w:i w:val="0"/>
          <w:color w:val="1B2A32"/>
          <w:sz w:val="21"/>
        </w:rPr>
        <w:t xml:space="preserve"> under the Mediation Act, 2023.</w:t>
      </w:r>
    </w:p>
    <w:p>
      <w:pPr>
        <w:keepNext/>
        <w:spacing w:before="280" w:after="120"/>
        <w:pBdr>
          <w:bottom w:val="single" w:sz="12" w:space="3" w:color="C6A15B"/>
        </w:pBdr>
      </w:pPr>
      <w:r>
        <w:rPr>
          <w:rFonts w:ascii="Calibri" w:hAnsi="Calibri"/>
          <w:b/>
          <w:i w:val="0"/>
          <w:color w:val="123B4F"/>
          <w:sz w:val="32"/>
        </w:rPr>
        <w:t>1.  Eligibility</w:t>
      </w:r>
    </w:p>
    <w:p>
      <w:pPr>
        <w:pStyle w:val="ListBullet"/>
        <w:spacing w:after="60"/>
        <w:jc w:val="both"/>
      </w:pPr>
      <w:r>
        <w:rPr>
          <w:rFonts w:ascii="Calibri" w:hAnsi="Calibri"/>
          <w:b/>
          <w:i w:val="0"/>
          <w:color w:val="1B2A32"/>
          <w:sz w:val="21"/>
        </w:rPr>
        <w:t>Qualification</w:t>
      </w:r>
      <w:r>
        <w:rPr>
          <w:rFonts w:ascii="Calibri" w:hAnsi="Calibri"/>
          <w:b w:val="0"/>
          <w:i w:val="0"/>
          <w:color w:val="1B2A32"/>
          <w:sz w:val="21"/>
        </w:rPr>
        <w:t xml:space="preserve"> — a law degree, or a professional qualification in psychology, social work, counselling or a cognate discipline, or such standing as the Institution accepts; and</w:t>
      </w:r>
    </w:p>
    <w:p>
      <w:pPr>
        <w:pStyle w:val="ListBullet"/>
        <w:spacing w:after="60"/>
        <w:jc w:val="both"/>
      </w:pPr>
      <w:r>
        <w:rPr>
          <w:rFonts w:ascii="Calibri" w:hAnsi="Calibri"/>
          <w:b/>
          <w:i w:val="0"/>
          <w:color w:val="1B2A32"/>
          <w:sz w:val="21"/>
        </w:rPr>
        <w:t>Training</w:t>
      </w:r>
      <w:r>
        <w:rPr>
          <w:rFonts w:ascii="Calibri" w:hAnsi="Calibri"/>
          <w:b w:val="0"/>
          <w:i w:val="0"/>
          <w:color w:val="1B2A32"/>
          <w:sz w:val="21"/>
        </w:rPr>
        <w:t xml:space="preserve"> — completion of a recognised mediation training and the </w:t>
      </w:r>
      <w:r>
        <w:rPr>
          <w:rFonts w:ascii="Calibri" w:hAnsi="Calibri"/>
          <w:b/>
          <w:i w:val="0"/>
          <w:color w:val="1B2A32"/>
          <w:sz w:val="21"/>
        </w:rPr>
        <w:t>Equator Certified Family Mediator</w:t>
      </w:r>
      <w:r>
        <w:rPr>
          <w:rFonts w:ascii="Calibri" w:hAnsi="Calibri"/>
          <w:b w:val="0"/>
          <w:i w:val="0"/>
          <w:color w:val="1B2A32"/>
          <w:sz w:val="21"/>
        </w:rPr>
        <w:t xml:space="preserve"> programme (or an equivalent the Institution recognises);</w:t>
      </w:r>
    </w:p>
    <w:p>
      <w:pPr>
        <w:pStyle w:val="ListBullet"/>
        <w:spacing w:after="60"/>
        <w:jc w:val="both"/>
      </w:pPr>
      <w:r>
        <w:rPr>
          <w:rFonts w:ascii="Calibri" w:hAnsi="Calibri"/>
          <w:b/>
          <w:i w:val="0"/>
          <w:color w:val="1B2A32"/>
          <w:sz w:val="21"/>
        </w:rPr>
        <w:t>Experience</w:t>
      </w:r>
      <w:r>
        <w:rPr>
          <w:rFonts w:ascii="Calibri" w:hAnsi="Calibri"/>
          <w:b w:val="0"/>
          <w:i w:val="0"/>
          <w:color w:val="1B2A32"/>
          <w:sz w:val="21"/>
        </w:rPr>
        <w:t xml:space="preserve"> — as prescribed for the grade sought;</w:t>
      </w:r>
    </w:p>
    <w:p>
      <w:pPr>
        <w:pStyle w:val="ListBullet"/>
        <w:spacing w:after="60"/>
        <w:jc w:val="both"/>
      </w:pPr>
      <w:r>
        <w:rPr>
          <w:rFonts w:ascii="Calibri" w:hAnsi="Calibri"/>
          <w:b/>
          <w:i w:val="0"/>
          <w:color w:val="1B2A32"/>
          <w:sz w:val="21"/>
        </w:rPr>
        <w:t>Fitness</w:t>
      </w:r>
      <w:r>
        <w:rPr>
          <w:rFonts w:ascii="Calibri" w:hAnsi="Calibri"/>
          <w:b w:val="0"/>
          <w:i w:val="0"/>
          <w:color w:val="1B2A32"/>
          <w:sz w:val="21"/>
        </w:rPr>
        <w:t xml:space="preserve"> — no disqualifying conviction, professional censure or finding of misconduct; satisfactory references;</w:t>
      </w:r>
    </w:p>
    <w:p>
      <w:pPr>
        <w:pStyle w:val="ListBullet"/>
        <w:spacing w:after="60"/>
        <w:jc w:val="both"/>
      </w:pPr>
      <w:r>
        <w:rPr>
          <w:rFonts w:ascii="Calibri" w:hAnsi="Calibri"/>
          <w:b/>
          <w:i w:val="0"/>
          <w:color w:val="1B2A32"/>
          <w:sz w:val="21"/>
        </w:rPr>
        <w:t>Undertakings</w:t>
      </w:r>
      <w:r>
        <w:rPr>
          <w:rFonts w:ascii="Calibri" w:hAnsi="Calibri"/>
          <w:b w:val="0"/>
          <w:i w:val="0"/>
          <w:color w:val="1B2A32"/>
          <w:sz w:val="21"/>
        </w:rPr>
        <w:t xml:space="preserve"> — signed Code of Conduct, confidentiality and data-protection undertakings, and consent to background verification.</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Specialist requirement</w:t>
            </w:r>
          </w:p>
          <w:p>
            <w:r>
              <w:rPr>
                <w:rFonts w:ascii="Calibri" w:hAnsi="Calibri"/>
                <w:b w:val="0"/>
                <w:i w:val="0"/>
                <w:color w:val="1B2A32"/>
                <w:sz w:val="19"/>
              </w:rPr>
              <w:t>A mediator may not take a matter involving allegations of domestic violence, coercive control or a child-related dispute unless certified for that specialism. Child-inclusive mediation requires a further specialist certification.</w:t>
            </w:r>
          </w:p>
        </w:tc>
      </w:tr>
    </w:tbl>
    <w:p>
      <w:pPr>
        <w:spacing w:after="40"/>
      </w:pPr>
    </w:p>
    <w:p>
      <w:pPr>
        <w:keepNext/>
        <w:spacing w:before="280" w:after="120"/>
        <w:pBdr>
          <w:bottom w:val="single" w:sz="12" w:space="3" w:color="C6A15B"/>
        </w:pBdr>
      </w:pPr>
      <w:r>
        <w:rPr>
          <w:rFonts w:ascii="Calibri" w:hAnsi="Calibri"/>
          <w:b/>
          <w:i w:val="0"/>
          <w:color w:val="123B4F"/>
          <w:sz w:val="32"/>
        </w:rPr>
        <w:t>2.  Grades</w:t>
      </w:r>
    </w:p>
    <w:tbl>
      <w:tblPr>
        <w:tblStyle w:val="TableGrid"/>
        <w:tblW w:type="auto" w:w="0"/>
        <w:jc w:val="center"/>
        <w:tblLook w:firstColumn="1" w:firstRow="1" w:lastColumn="0" w:lastRow="0" w:noHBand="0" w:noVBand="1" w:val="04A0"/>
      </w:tblPr>
      <w:tblGrid>
        <w:gridCol w:w="3168"/>
        <w:gridCol w:w="3168"/>
        <w:gridCol w:w="3168"/>
      </w:tblGrid>
      <w:tr>
        <w:tc>
          <w:tcPr>
            <w:tcW w:type="dxa" w:w="1008"/>
            <w:shd w:val="clear" w:fill="123B4F"/>
          </w:tcPr>
          <w:p>
            <w:r/>
            <w:r>
              <w:rPr>
                <w:rFonts w:ascii="Calibri" w:hAnsi="Calibri"/>
                <w:b/>
                <w:i w:val="0"/>
                <w:color w:val="FFFFFF"/>
                <w:sz w:val="17"/>
              </w:rPr>
              <w:t>Grade</w:t>
            </w:r>
          </w:p>
        </w:tc>
        <w:tc>
          <w:tcPr>
            <w:tcW w:type="dxa" w:w="4896"/>
            <w:shd w:val="clear" w:fill="123B4F"/>
          </w:tcPr>
          <w:p>
            <w:r/>
            <w:r>
              <w:rPr>
                <w:rFonts w:ascii="Calibri" w:hAnsi="Calibri"/>
                <w:b/>
                <w:i w:val="0"/>
                <w:color w:val="FFFFFF"/>
                <w:sz w:val="17"/>
              </w:rPr>
              <w:t>Profile</w:t>
            </w:r>
          </w:p>
        </w:tc>
        <w:tc>
          <w:tcPr>
            <w:tcW w:type="dxa" w:w="3600"/>
            <w:shd w:val="clear" w:fill="123B4F"/>
          </w:tcPr>
          <w:p>
            <w:r/>
            <w:r>
              <w:rPr>
                <w:rFonts w:ascii="Calibri" w:hAnsi="Calibri"/>
                <w:b/>
                <w:i w:val="0"/>
                <w:color w:val="FFFFFF"/>
                <w:sz w:val="17"/>
              </w:rPr>
              <w:t>Typical matters</w:t>
            </w:r>
          </w:p>
        </w:tc>
      </w:tr>
      <w:tr>
        <w:tc>
          <w:tcPr>
            <w:tcW w:type="dxa" w:w="1008"/>
          </w:tcPr>
          <w:p>
            <w:r/>
            <w:r>
              <w:rPr>
                <w:rFonts w:ascii="Calibri" w:hAnsi="Calibri"/>
                <w:b w:val="0"/>
                <w:i w:val="0"/>
                <w:color w:val="1B2A32"/>
                <w:sz w:val="17"/>
              </w:rPr>
              <w:t>A</w:t>
            </w:r>
          </w:p>
        </w:tc>
        <w:tc>
          <w:tcPr>
            <w:tcW w:type="dxa" w:w="4896"/>
          </w:tcPr>
          <w:p>
            <w:r/>
            <w:r>
              <w:rPr>
                <w:rFonts w:ascii="Calibri" w:hAnsi="Calibri"/>
                <w:b w:val="0"/>
                <w:i w:val="0"/>
                <w:color w:val="1B2A32"/>
                <w:sz w:val="17"/>
              </w:rPr>
              <w:t>15+ years' standing; senior advocate, retired judicial officer or senior mental-health/social-work professional; substantial mediation record; specialist certifications.</w:t>
            </w:r>
          </w:p>
        </w:tc>
        <w:tc>
          <w:tcPr>
            <w:tcW w:type="dxa" w:w="3600"/>
          </w:tcPr>
          <w:p>
            <w:r/>
            <w:r>
              <w:rPr>
                <w:rFonts w:ascii="Calibri" w:hAnsi="Calibri"/>
                <w:b w:val="0"/>
                <w:i w:val="0"/>
                <w:color w:val="1B2A32"/>
                <w:sz w:val="17"/>
              </w:rPr>
              <w:t>High-conflict, high-value, complex custody, court-referred.</w:t>
            </w:r>
          </w:p>
        </w:tc>
      </w:tr>
      <w:tr>
        <w:tc>
          <w:tcPr>
            <w:tcW w:type="dxa" w:w="1008"/>
            <w:shd w:val="clear" w:fill="F3F7F9"/>
          </w:tcPr>
          <w:p>
            <w:r/>
            <w:r>
              <w:rPr>
                <w:rFonts w:ascii="Calibri" w:hAnsi="Calibri"/>
                <w:b w:val="0"/>
                <w:i w:val="0"/>
                <w:color w:val="1B2A32"/>
                <w:sz w:val="17"/>
              </w:rPr>
              <w:t>B</w:t>
            </w:r>
          </w:p>
        </w:tc>
        <w:tc>
          <w:tcPr>
            <w:tcW w:type="dxa" w:w="4896"/>
            <w:shd w:val="clear" w:fill="F3F7F9"/>
          </w:tcPr>
          <w:p>
            <w:r/>
            <w:r>
              <w:rPr>
                <w:rFonts w:ascii="Calibri" w:hAnsi="Calibri"/>
                <w:b w:val="0"/>
                <w:i w:val="0"/>
                <w:color w:val="1B2A32"/>
                <w:sz w:val="17"/>
              </w:rPr>
              <w:t>8–15 years; solid family-law or clinical experience; certified; sound settlement record.</w:t>
            </w:r>
          </w:p>
        </w:tc>
        <w:tc>
          <w:tcPr>
            <w:tcW w:type="dxa" w:w="3600"/>
            <w:shd w:val="clear" w:fill="F3F7F9"/>
          </w:tcPr>
          <w:p>
            <w:r/>
            <w:r>
              <w:rPr>
                <w:rFonts w:ascii="Calibri" w:hAnsi="Calibri"/>
                <w:b w:val="0"/>
                <w:i w:val="0"/>
                <w:color w:val="1B2A32"/>
                <w:sz w:val="17"/>
              </w:rPr>
              <w:t>Mainstream matrimonial, maintenance, parenting.</w:t>
            </w:r>
          </w:p>
        </w:tc>
      </w:tr>
      <w:tr>
        <w:tc>
          <w:tcPr>
            <w:tcW w:type="dxa" w:w="1008"/>
          </w:tcPr>
          <w:p>
            <w:r/>
            <w:r>
              <w:rPr>
                <w:rFonts w:ascii="Calibri" w:hAnsi="Calibri"/>
                <w:b w:val="0"/>
                <w:i w:val="0"/>
                <w:color w:val="1B2A32"/>
                <w:sz w:val="17"/>
              </w:rPr>
              <w:t>C</w:t>
            </w:r>
          </w:p>
        </w:tc>
        <w:tc>
          <w:tcPr>
            <w:tcW w:type="dxa" w:w="4896"/>
          </w:tcPr>
          <w:p>
            <w:r/>
            <w:r>
              <w:rPr>
                <w:rFonts w:ascii="Calibri" w:hAnsi="Calibri"/>
                <w:b w:val="0"/>
                <w:i w:val="0"/>
                <w:color w:val="1B2A32"/>
                <w:sz w:val="17"/>
              </w:rPr>
              <w:t>Certified mediator up to 8 years; supervised practice.</w:t>
            </w:r>
          </w:p>
        </w:tc>
        <w:tc>
          <w:tcPr>
            <w:tcW w:type="dxa" w:w="3600"/>
          </w:tcPr>
          <w:p>
            <w:r/>
            <w:r>
              <w:rPr>
                <w:rFonts w:ascii="Calibri" w:hAnsi="Calibri"/>
                <w:b w:val="0"/>
                <w:i w:val="0"/>
                <w:color w:val="1B2A32"/>
                <w:sz w:val="17"/>
              </w:rPr>
              <w:t>Mutual-consent, straightforward parenting and money matters, co-mediation.</w:t>
            </w:r>
          </w:p>
        </w:tc>
      </w:tr>
    </w:tbl>
    <w:p>
      <w:pPr>
        <w:spacing w:after="40"/>
      </w:pPr>
    </w:p>
    <w:p>
      <w:pPr>
        <w:keepNext/>
        <w:spacing w:before="280" w:after="120"/>
        <w:pBdr>
          <w:bottom w:val="single" w:sz="12" w:space="3" w:color="C6A15B"/>
        </w:pBdr>
      </w:pPr>
      <w:r>
        <w:rPr>
          <w:rFonts w:ascii="Calibri" w:hAnsi="Calibri"/>
          <w:b/>
          <w:i w:val="0"/>
          <w:color w:val="123B4F"/>
          <w:sz w:val="32"/>
        </w:rPr>
        <w:t>3.  Selection &amp; scoring</w:t>
      </w:r>
    </w:p>
    <w:tbl>
      <w:tblPr>
        <w:tblStyle w:val="TableGrid"/>
        <w:tblW w:type="auto" w:w="0"/>
        <w:jc w:val="center"/>
        <w:tblLook w:firstColumn="1" w:firstRow="1" w:lastColumn="0" w:lastRow="0" w:noHBand="0" w:noVBand="1" w:val="04A0"/>
      </w:tblPr>
      <w:tblGrid>
        <w:gridCol w:w="3168"/>
        <w:gridCol w:w="3168"/>
        <w:gridCol w:w="3168"/>
      </w:tblGrid>
      <w:tr>
        <w:tc>
          <w:tcPr>
            <w:tcW w:type="dxa" w:w="3456"/>
            <w:shd w:val="clear" w:fill="123B4F"/>
          </w:tcPr>
          <w:p>
            <w:r/>
            <w:r>
              <w:rPr>
                <w:rFonts w:ascii="Calibri" w:hAnsi="Calibri"/>
                <w:b/>
                <w:i w:val="0"/>
                <w:color w:val="FFFFFF"/>
                <w:sz w:val="17"/>
              </w:rPr>
              <w:t>Criterion</w:t>
            </w:r>
          </w:p>
        </w:tc>
        <w:tc>
          <w:tcPr>
            <w:tcW w:type="dxa" w:w="1296"/>
            <w:shd w:val="clear" w:fill="123B4F"/>
          </w:tcPr>
          <w:p>
            <w:r/>
            <w:r>
              <w:rPr>
                <w:rFonts w:ascii="Calibri" w:hAnsi="Calibri"/>
                <w:b/>
                <w:i w:val="0"/>
                <w:color w:val="FFFFFF"/>
                <w:sz w:val="17"/>
              </w:rPr>
              <w:t>Weight</w:t>
            </w:r>
          </w:p>
        </w:tc>
        <w:tc>
          <w:tcPr>
            <w:tcW w:type="dxa" w:w="4752"/>
            <w:shd w:val="clear" w:fill="123B4F"/>
          </w:tcPr>
          <w:p>
            <w:r/>
            <w:r>
              <w:rPr>
                <w:rFonts w:ascii="Calibri" w:hAnsi="Calibri"/>
                <w:b/>
                <w:i w:val="0"/>
                <w:color w:val="FFFFFF"/>
                <w:sz w:val="17"/>
              </w:rPr>
              <w:t>What is assessed</w:t>
            </w:r>
          </w:p>
        </w:tc>
      </w:tr>
      <w:tr>
        <w:tc>
          <w:tcPr>
            <w:tcW w:type="dxa" w:w="3456"/>
          </w:tcPr>
          <w:p>
            <w:r/>
            <w:r>
              <w:rPr>
                <w:rFonts w:ascii="Calibri" w:hAnsi="Calibri"/>
                <w:b w:val="0"/>
                <w:i w:val="0"/>
                <w:color w:val="1B2A32"/>
                <w:sz w:val="17"/>
              </w:rPr>
              <w:t>Family-law / clinical expertise</w:t>
            </w:r>
          </w:p>
        </w:tc>
        <w:tc>
          <w:tcPr>
            <w:tcW w:type="dxa" w:w="1296"/>
          </w:tcPr>
          <w:p>
            <w:r/>
            <w:r>
              <w:rPr>
                <w:rFonts w:ascii="Calibri" w:hAnsi="Calibri"/>
                <w:b w:val="0"/>
                <w:i w:val="0"/>
                <w:color w:val="1B2A32"/>
                <w:sz w:val="17"/>
              </w:rPr>
              <w:t>25</w:t>
            </w:r>
          </w:p>
        </w:tc>
        <w:tc>
          <w:tcPr>
            <w:tcW w:type="dxa" w:w="4752"/>
          </w:tcPr>
          <w:p>
            <w:r/>
            <w:r>
              <w:rPr>
                <w:rFonts w:ascii="Calibri" w:hAnsi="Calibri"/>
                <w:b w:val="0"/>
                <w:i w:val="0"/>
                <w:color w:val="1B2A32"/>
                <w:sz w:val="17"/>
              </w:rPr>
              <w:t>Depth in matrimonial law or family dynamics.</w:t>
            </w:r>
          </w:p>
        </w:tc>
      </w:tr>
      <w:tr>
        <w:tc>
          <w:tcPr>
            <w:tcW w:type="dxa" w:w="3456"/>
            <w:shd w:val="clear" w:fill="F3F7F9"/>
          </w:tcPr>
          <w:p>
            <w:r/>
            <w:r>
              <w:rPr>
                <w:rFonts w:ascii="Calibri" w:hAnsi="Calibri"/>
                <w:b w:val="0"/>
                <w:i w:val="0"/>
                <w:color w:val="1B2A32"/>
                <w:sz w:val="17"/>
              </w:rPr>
              <w:t>Mediation skill &amp; training</w:t>
            </w:r>
          </w:p>
        </w:tc>
        <w:tc>
          <w:tcPr>
            <w:tcW w:type="dxa" w:w="1296"/>
            <w:shd w:val="clear" w:fill="F3F7F9"/>
          </w:tcPr>
          <w:p>
            <w:r/>
            <w:r>
              <w:rPr>
                <w:rFonts w:ascii="Calibri" w:hAnsi="Calibri"/>
                <w:b w:val="0"/>
                <w:i w:val="0"/>
                <w:color w:val="1B2A32"/>
                <w:sz w:val="17"/>
              </w:rPr>
              <w:t>20</w:t>
            </w:r>
          </w:p>
        </w:tc>
        <w:tc>
          <w:tcPr>
            <w:tcW w:type="dxa" w:w="4752"/>
            <w:shd w:val="clear" w:fill="F3F7F9"/>
          </w:tcPr>
          <w:p>
            <w:r/>
            <w:r>
              <w:rPr>
                <w:rFonts w:ascii="Calibri" w:hAnsi="Calibri"/>
                <w:b w:val="0"/>
                <w:i w:val="0"/>
                <w:color w:val="1B2A32"/>
                <w:sz w:val="17"/>
              </w:rPr>
              <w:t>Certification, observed practice, technique.</w:t>
            </w:r>
          </w:p>
        </w:tc>
      </w:tr>
      <w:tr>
        <w:tc>
          <w:tcPr>
            <w:tcW w:type="dxa" w:w="3456"/>
          </w:tcPr>
          <w:p>
            <w:r/>
            <w:r>
              <w:rPr>
                <w:rFonts w:ascii="Calibri" w:hAnsi="Calibri"/>
                <w:b w:val="0"/>
                <w:i w:val="0"/>
                <w:color w:val="1B2A32"/>
                <w:sz w:val="17"/>
              </w:rPr>
              <w:t>Safety competence</w:t>
            </w:r>
          </w:p>
        </w:tc>
        <w:tc>
          <w:tcPr>
            <w:tcW w:type="dxa" w:w="1296"/>
          </w:tcPr>
          <w:p>
            <w:r/>
            <w:r>
              <w:rPr>
                <w:rFonts w:ascii="Calibri" w:hAnsi="Calibri"/>
                <w:b w:val="0"/>
                <w:i w:val="0"/>
                <w:color w:val="1B2A32"/>
                <w:sz w:val="17"/>
              </w:rPr>
              <w:t>15</w:t>
            </w:r>
          </w:p>
        </w:tc>
        <w:tc>
          <w:tcPr>
            <w:tcW w:type="dxa" w:w="4752"/>
          </w:tcPr>
          <w:p>
            <w:r/>
            <w:r>
              <w:rPr>
                <w:rFonts w:ascii="Calibri" w:hAnsi="Calibri"/>
                <w:b w:val="0"/>
                <w:i w:val="0"/>
                <w:color w:val="1B2A32"/>
                <w:sz w:val="17"/>
              </w:rPr>
              <w:t>Screening, DV awareness, power imbalance, risk escalation.</w:t>
            </w:r>
          </w:p>
        </w:tc>
      </w:tr>
      <w:tr>
        <w:tc>
          <w:tcPr>
            <w:tcW w:type="dxa" w:w="3456"/>
            <w:shd w:val="clear" w:fill="F3F7F9"/>
          </w:tcPr>
          <w:p>
            <w:r/>
            <w:r>
              <w:rPr>
                <w:rFonts w:ascii="Calibri" w:hAnsi="Calibri"/>
                <w:b w:val="0"/>
                <w:i w:val="0"/>
                <w:color w:val="1B2A32"/>
                <w:sz w:val="17"/>
              </w:rPr>
              <w:t>Child focus</w:t>
            </w:r>
          </w:p>
        </w:tc>
        <w:tc>
          <w:tcPr>
            <w:tcW w:type="dxa" w:w="1296"/>
            <w:shd w:val="clear" w:fill="F3F7F9"/>
          </w:tcPr>
          <w:p>
            <w:r/>
            <w:r>
              <w:rPr>
                <w:rFonts w:ascii="Calibri" w:hAnsi="Calibri"/>
                <w:b w:val="0"/>
                <w:i w:val="0"/>
                <w:color w:val="1B2A32"/>
                <w:sz w:val="17"/>
              </w:rPr>
              <w:t>10</w:t>
            </w:r>
          </w:p>
        </w:tc>
        <w:tc>
          <w:tcPr>
            <w:tcW w:type="dxa" w:w="4752"/>
            <w:shd w:val="clear" w:fill="F3F7F9"/>
          </w:tcPr>
          <w:p>
            <w:r/>
            <w:r>
              <w:rPr>
                <w:rFonts w:ascii="Calibri" w:hAnsi="Calibri"/>
                <w:b w:val="0"/>
                <w:i w:val="0"/>
                <w:color w:val="1B2A32"/>
                <w:sz w:val="17"/>
              </w:rPr>
              <w:t>Welfare orientation; child-inclusive competence where claimed.</w:t>
            </w:r>
          </w:p>
        </w:tc>
      </w:tr>
      <w:tr>
        <w:tc>
          <w:tcPr>
            <w:tcW w:type="dxa" w:w="3456"/>
          </w:tcPr>
          <w:p>
            <w:r/>
            <w:r>
              <w:rPr>
                <w:rFonts w:ascii="Calibri" w:hAnsi="Calibri"/>
                <w:b w:val="0"/>
                <w:i w:val="0"/>
                <w:color w:val="1B2A32"/>
                <w:sz w:val="17"/>
              </w:rPr>
              <w:t>Settlement record &amp; durability</w:t>
            </w:r>
          </w:p>
        </w:tc>
        <w:tc>
          <w:tcPr>
            <w:tcW w:type="dxa" w:w="1296"/>
          </w:tcPr>
          <w:p>
            <w:r/>
            <w:r>
              <w:rPr>
                <w:rFonts w:ascii="Calibri" w:hAnsi="Calibri"/>
                <w:b w:val="0"/>
                <w:i w:val="0"/>
                <w:color w:val="1B2A32"/>
                <w:sz w:val="17"/>
              </w:rPr>
              <w:t>10</w:t>
            </w:r>
          </w:p>
        </w:tc>
        <w:tc>
          <w:tcPr>
            <w:tcW w:type="dxa" w:w="4752"/>
          </w:tcPr>
          <w:p>
            <w:r/>
            <w:r>
              <w:rPr>
                <w:rFonts w:ascii="Calibri" w:hAnsi="Calibri"/>
                <w:b w:val="0"/>
                <w:i w:val="0"/>
                <w:color w:val="1B2A32"/>
                <w:sz w:val="17"/>
              </w:rPr>
              <w:t>Outcomes and whether they hold.</w:t>
            </w:r>
          </w:p>
        </w:tc>
      </w:tr>
      <w:tr>
        <w:tc>
          <w:tcPr>
            <w:tcW w:type="dxa" w:w="3456"/>
            <w:shd w:val="clear" w:fill="F3F7F9"/>
          </w:tcPr>
          <w:p>
            <w:r/>
            <w:r>
              <w:rPr>
                <w:rFonts w:ascii="Calibri" w:hAnsi="Calibri"/>
                <w:b w:val="0"/>
                <w:i w:val="0"/>
                <w:color w:val="1B2A32"/>
                <w:sz w:val="17"/>
              </w:rPr>
              <w:t>Independence &amp; integrity</w:t>
            </w:r>
          </w:p>
        </w:tc>
        <w:tc>
          <w:tcPr>
            <w:tcW w:type="dxa" w:w="1296"/>
            <w:shd w:val="clear" w:fill="F3F7F9"/>
          </w:tcPr>
          <w:p>
            <w:r/>
            <w:r>
              <w:rPr>
                <w:rFonts w:ascii="Calibri" w:hAnsi="Calibri"/>
                <w:b w:val="0"/>
                <w:i w:val="0"/>
                <w:color w:val="1B2A32"/>
                <w:sz w:val="17"/>
              </w:rPr>
              <w:t>10</w:t>
            </w:r>
          </w:p>
        </w:tc>
        <w:tc>
          <w:tcPr>
            <w:tcW w:type="dxa" w:w="4752"/>
            <w:shd w:val="clear" w:fill="F3F7F9"/>
          </w:tcPr>
          <w:p>
            <w:r/>
            <w:r>
              <w:rPr>
                <w:rFonts w:ascii="Calibri" w:hAnsi="Calibri"/>
                <w:b w:val="0"/>
                <w:i w:val="0"/>
                <w:color w:val="1B2A32"/>
                <w:sz w:val="17"/>
              </w:rPr>
              <w:t>Conflicts record; references; discipline history.</w:t>
            </w:r>
          </w:p>
        </w:tc>
      </w:tr>
      <w:tr>
        <w:tc>
          <w:tcPr>
            <w:tcW w:type="dxa" w:w="3456"/>
          </w:tcPr>
          <w:p>
            <w:r/>
            <w:r>
              <w:rPr>
                <w:rFonts w:ascii="Calibri" w:hAnsi="Calibri"/>
                <w:b w:val="0"/>
                <w:i w:val="0"/>
                <w:color w:val="1B2A32"/>
                <w:sz w:val="17"/>
              </w:rPr>
              <w:t>Accessibility</w:t>
            </w:r>
          </w:p>
        </w:tc>
        <w:tc>
          <w:tcPr>
            <w:tcW w:type="dxa" w:w="1296"/>
          </w:tcPr>
          <w:p>
            <w:r/>
            <w:r>
              <w:rPr>
                <w:rFonts w:ascii="Calibri" w:hAnsi="Calibri"/>
                <w:b w:val="0"/>
                <w:i w:val="0"/>
                <w:color w:val="1B2A32"/>
                <w:sz w:val="17"/>
              </w:rPr>
              <w:t>10</w:t>
            </w:r>
          </w:p>
        </w:tc>
        <w:tc>
          <w:tcPr>
            <w:tcW w:type="dxa" w:w="4752"/>
          </w:tcPr>
          <w:p>
            <w:r/>
            <w:r>
              <w:rPr>
                <w:rFonts w:ascii="Calibri" w:hAnsi="Calibri"/>
                <w:b w:val="0"/>
                <w:i w:val="0"/>
                <w:color w:val="1B2A32"/>
                <w:sz w:val="17"/>
              </w:rPr>
              <w:t>Languages, availability, digital fluency, adjustments.</w:t>
            </w:r>
          </w:p>
        </w:tc>
      </w:tr>
    </w:tbl>
    <w:p>
      <w:pPr>
        <w:spacing w:after="40"/>
      </w:pPr>
    </w:p>
    <w:p>
      <w:pPr>
        <w:spacing w:after="120"/>
        <w:jc w:val="both"/>
      </w:pPr>
      <w:r>
        <w:rPr>
          <w:rFonts w:ascii="Calibri" w:hAnsi="Calibri"/>
          <w:b/>
          <w:i w:val="0"/>
          <w:color w:val="1B2A32"/>
          <w:sz w:val="21"/>
        </w:rPr>
        <w:t>Thresholds:</w:t>
      </w:r>
      <w:r>
        <w:rPr>
          <w:rFonts w:ascii="Calibri" w:hAnsi="Calibri"/>
          <w:b w:val="0"/>
          <w:i w:val="0"/>
          <w:color w:val="1B2A32"/>
          <w:sz w:val="21"/>
        </w:rPr>
        <w:t xml:space="preserve"> ≥80 Grade A; 65–79 Grade B; 50–64 Grade C; below 50 not empanelled. Scores are recorded with reasons and are reviewable.</w:t>
      </w:r>
    </w:p>
    <w:p>
      <w:pPr>
        <w:keepNext/>
        <w:spacing w:before="280" w:after="120"/>
        <w:pBdr>
          <w:bottom w:val="single" w:sz="12" w:space="3" w:color="C6A15B"/>
        </w:pBdr>
      </w:pPr>
      <w:r>
        <w:rPr>
          <w:rFonts w:ascii="Calibri" w:hAnsi="Calibri"/>
          <w:b/>
          <w:i w:val="0"/>
          <w:color w:val="123B4F"/>
          <w:sz w:val="32"/>
        </w:rPr>
        <w:t>4.  Admission procedure</w:t>
      </w:r>
    </w:p>
    <w:p>
      <w:pPr>
        <w:pStyle w:val="ListNumber"/>
        <w:spacing w:after="60"/>
        <w:jc w:val="both"/>
      </w:pPr>
      <w:r>
        <w:rPr>
          <w:rFonts w:ascii="Calibri" w:hAnsi="Calibri"/>
          <w:b w:val="0"/>
          <w:i w:val="0"/>
          <w:color w:val="1B2A32"/>
          <w:sz w:val="21"/>
        </w:rPr>
        <w:t>Application with CV, certifications, references and declarations.</w:t>
      </w:r>
    </w:p>
    <w:p>
      <w:pPr>
        <w:pStyle w:val="ListNumber"/>
        <w:spacing w:after="60"/>
        <w:jc w:val="both"/>
      </w:pPr>
      <w:r>
        <w:rPr>
          <w:rFonts w:ascii="Calibri" w:hAnsi="Calibri"/>
          <w:b w:val="0"/>
          <w:i w:val="0"/>
          <w:color w:val="1B2A32"/>
          <w:sz w:val="21"/>
        </w:rPr>
        <w:t>Verification of qualifications, training and fitness; conflict declaration.</w:t>
      </w:r>
    </w:p>
    <w:p>
      <w:pPr>
        <w:pStyle w:val="ListNumber"/>
        <w:spacing w:after="60"/>
        <w:jc w:val="both"/>
      </w:pPr>
      <w:r>
        <w:rPr>
          <w:rFonts w:ascii="Calibri" w:hAnsi="Calibri"/>
          <w:b w:val="0"/>
          <w:i w:val="0"/>
          <w:color w:val="1B2A32"/>
          <w:sz w:val="21"/>
        </w:rPr>
        <w:t xml:space="preserve">Assessment against the scoring criteria, including a </w:t>
      </w:r>
      <w:r>
        <w:rPr>
          <w:rFonts w:ascii="Calibri" w:hAnsi="Calibri"/>
          <w:b/>
          <w:i w:val="0"/>
          <w:color w:val="1B2A32"/>
          <w:sz w:val="21"/>
        </w:rPr>
        <w:t>role-play or observed mediation</w:t>
      </w:r>
      <w:r>
        <w:rPr>
          <w:rFonts w:ascii="Calibri" w:hAnsi="Calibri"/>
          <w:b w:val="0"/>
          <w:i w:val="0"/>
          <w:color w:val="1B2A32"/>
          <w:sz w:val="21"/>
        </w:rPr>
        <w:t>.</w:t>
      </w:r>
    </w:p>
    <w:p>
      <w:pPr>
        <w:pStyle w:val="ListNumber"/>
        <w:spacing w:after="60"/>
        <w:jc w:val="both"/>
      </w:pPr>
      <w:r>
        <w:rPr>
          <w:rFonts w:ascii="Calibri" w:hAnsi="Calibri"/>
          <w:b w:val="0"/>
          <w:i w:val="0"/>
          <w:color w:val="1B2A32"/>
          <w:sz w:val="21"/>
        </w:rPr>
        <w:t>Panel Committee decision; grade allotted; Code of Conduct signed.</w:t>
      </w:r>
    </w:p>
    <w:p>
      <w:pPr>
        <w:pStyle w:val="ListNumber"/>
        <w:spacing w:after="60"/>
        <w:jc w:val="both"/>
      </w:pPr>
      <w:r>
        <w:rPr>
          <w:rFonts w:ascii="Calibri" w:hAnsi="Calibri"/>
          <w:b/>
          <w:i w:val="0"/>
          <w:color w:val="1B2A32"/>
          <w:sz w:val="21"/>
        </w:rPr>
        <w:t>Induction</w:t>
      </w:r>
      <w:r>
        <w:rPr>
          <w:rFonts w:ascii="Calibri" w:hAnsi="Calibri"/>
          <w:b w:val="0"/>
          <w:i w:val="0"/>
          <w:color w:val="1B2A32"/>
          <w:sz w:val="21"/>
        </w:rPr>
        <w:t xml:space="preserve"> on the Rules, forms, platform, safety protocol and data protection.</w:t>
      </w:r>
    </w:p>
    <w:p>
      <w:pPr>
        <w:pStyle w:val="ListNumber"/>
        <w:spacing w:after="60"/>
        <w:jc w:val="both"/>
      </w:pPr>
      <w:r>
        <w:rPr>
          <w:rFonts w:ascii="Calibri" w:hAnsi="Calibri"/>
          <w:b/>
          <w:i w:val="0"/>
          <w:color w:val="1B2A32"/>
          <w:sz w:val="21"/>
        </w:rPr>
        <w:t>Probation</w:t>
      </w:r>
      <w:r>
        <w:rPr>
          <w:rFonts w:ascii="Calibri" w:hAnsi="Calibri"/>
          <w:b w:val="0"/>
          <w:i w:val="0"/>
          <w:color w:val="1B2A32"/>
          <w:sz w:val="21"/>
        </w:rPr>
        <w:t xml:space="preserve"> — a defined number of supervised or co-mediated matters with feedback before independent listing.</w:t>
      </w:r>
    </w:p>
    <w:p>
      <w:pPr>
        <w:keepNext/>
        <w:spacing w:before="280" w:after="120"/>
        <w:pBdr>
          <w:bottom w:val="single" w:sz="12" w:space="3" w:color="C6A15B"/>
        </w:pBdr>
      </w:pPr>
      <w:r>
        <w:rPr>
          <w:rFonts w:ascii="Calibri" w:hAnsi="Calibri"/>
          <w:b/>
          <w:i w:val="0"/>
          <w:color w:val="123B4F"/>
          <w:sz w:val="32"/>
        </w:rPr>
        <w:t>5.  Continuing obligations</w:t>
      </w:r>
    </w:p>
    <w:p>
      <w:pPr>
        <w:pStyle w:val="ListBullet"/>
        <w:spacing w:after="60"/>
        <w:jc w:val="both"/>
      </w:pPr>
      <w:r>
        <w:rPr>
          <w:rFonts w:ascii="Calibri" w:hAnsi="Calibri"/>
          <w:b/>
          <w:i w:val="0"/>
          <w:color w:val="1B2A32"/>
          <w:sz w:val="21"/>
        </w:rPr>
        <w:t>CPD</w:t>
      </w:r>
      <w:r>
        <w:rPr>
          <w:rFonts w:ascii="Calibri" w:hAnsi="Calibri"/>
          <w:b w:val="0"/>
          <w:i w:val="0"/>
          <w:color w:val="1B2A32"/>
          <w:sz w:val="21"/>
        </w:rPr>
        <w:t xml:space="preserve"> — a minimum number of hours annually, including safety and child-welfare content.</w:t>
      </w:r>
    </w:p>
    <w:p>
      <w:pPr>
        <w:pStyle w:val="ListBullet"/>
        <w:spacing w:after="60"/>
        <w:jc w:val="both"/>
      </w:pPr>
      <w:r>
        <w:rPr>
          <w:rFonts w:ascii="Calibri" w:hAnsi="Calibri"/>
          <w:b/>
          <w:i w:val="0"/>
          <w:color w:val="1B2A32"/>
          <w:sz w:val="21"/>
        </w:rPr>
        <w:t>Recertification</w:t>
      </w:r>
      <w:r>
        <w:rPr>
          <w:rFonts w:ascii="Calibri" w:hAnsi="Calibri"/>
          <w:b w:val="0"/>
          <w:i w:val="0"/>
          <w:color w:val="1B2A32"/>
          <w:sz w:val="21"/>
        </w:rPr>
        <w:t xml:space="preserve"> — periodic revalidation of certification and specialisms.</w:t>
      </w:r>
    </w:p>
    <w:p>
      <w:pPr>
        <w:pStyle w:val="ListBullet"/>
        <w:spacing w:after="60"/>
        <w:jc w:val="both"/>
      </w:pPr>
      <w:r>
        <w:rPr>
          <w:rFonts w:ascii="Calibri" w:hAnsi="Calibri"/>
          <w:b/>
          <w:i w:val="0"/>
          <w:color w:val="1B2A32"/>
          <w:sz w:val="21"/>
        </w:rPr>
        <w:t>Disclosure</w:t>
      </w:r>
      <w:r>
        <w:rPr>
          <w:rFonts w:ascii="Calibri" w:hAnsi="Calibri"/>
          <w:b w:val="0"/>
          <w:i w:val="0"/>
          <w:color w:val="1B2A32"/>
          <w:sz w:val="21"/>
        </w:rPr>
        <w:t xml:space="preserve"> — continuing duty to disclose conflicts and any change in fitness.</w:t>
      </w:r>
    </w:p>
    <w:p>
      <w:pPr>
        <w:pStyle w:val="ListBullet"/>
        <w:spacing w:after="60"/>
        <w:jc w:val="both"/>
      </w:pPr>
      <w:r>
        <w:rPr>
          <w:rFonts w:ascii="Calibri" w:hAnsi="Calibri"/>
          <w:b/>
          <w:i w:val="0"/>
          <w:color w:val="1B2A32"/>
          <w:sz w:val="21"/>
        </w:rPr>
        <w:t>Quality participation</w:t>
      </w:r>
      <w:r>
        <w:rPr>
          <w:rFonts w:ascii="Calibri" w:hAnsi="Calibri"/>
          <w:b w:val="0"/>
          <w:i w:val="0"/>
          <w:color w:val="1B2A32"/>
          <w:sz w:val="21"/>
        </w:rPr>
        <w:t xml:space="preserve"> — accept peer review, case audit and feedback collection.</w:t>
      </w:r>
    </w:p>
    <w:p>
      <w:pPr>
        <w:pStyle w:val="ListBullet"/>
        <w:spacing w:after="60"/>
        <w:jc w:val="both"/>
      </w:pPr>
      <w:r>
        <w:rPr>
          <w:rFonts w:ascii="Calibri" w:hAnsi="Calibri"/>
          <w:b/>
          <w:i w:val="0"/>
          <w:color w:val="1B2A32"/>
          <w:sz w:val="21"/>
        </w:rPr>
        <w:t>Availability</w:t>
      </w:r>
      <w:r>
        <w:rPr>
          <w:rFonts w:ascii="Calibri" w:hAnsi="Calibri"/>
          <w:b w:val="0"/>
          <w:i w:val="0"/>
          <w:color w:val="1B2A32"/>
          <w:sz w:val="21"/>
        </w:rPr>
        <w:t xml:space="preserve"> — maintain reasonable responsiveness and honour listed dates.</w:t>
      </w:r>
    </w:p>
    <w:p>
      <w:pPr>
        <w:keepNext/>
        <w:spacing w:before="280" w:after="120"/>
        <w:pBdr>
          <w:bottom w:val="single" w:sz="12" w:space="3" w:color="C6A15B"/>
        </w:pBdr>
      </w:pPr>
      <w:r>
        <w:rPr>
          <w:rFonts w:ascii="Calibri" w:hAnsi="Calibri"/>
          <w:b/>
          <w:i w:val="0"/>
          <w:color w:val="123B4F"/>
          <w:sz w:val="32"/>
        </w:rPr>
        <w:t>6.  Performance review</w:t>
      </w:r>
    </w:p>
    <w:p>
      <w:pPr>
        <w:spacing w:after="120"/>
        <w:jc w:val="both"/>
      </w:pPr>
      <w:r>
        <w:rPr>
          <w:rFonts w:ascii="Calibri" w:hAnsi="Calibri"/>
          <w:b w:val="0"/>
          <w:i w:val="0"/>
          <w:color w:val="1B2A32"/>
          <w:sz w:val="21"/>
        </w:rPr>
        <w:t>Each mediator is reviewed at least annually against outcome data (settlement rate and durability), timeliness, party feedback, quality-audit findings, complaints and CPD compliance. Review may confirm, upgrade, downgrade or impose conditions such as supervision or further training.</w:t>
      </w:r>
    </w:p>
    <w:p>
      <w:pPr>
        <w:keepNext/>
        <w:spacing w:before="280" w:after="120"/>
        <w:pBdr>
          <w:bottom w:val="single" w:sz="12" w:space="3" w:color="C6A15B"/>
        </w:pBdr>
      </w:pPr>
      <w:r>
        <w:rPr>
          <w:rFonts w:ascii="Calibri" w:hAnsi="Calibri"/>
          <w:b/>
          <w:i w:val="0"/>
          <w:color w:val="123B4F"/>
          <w:sz w:val="32"/>
        </w:rPr>
        <w:t>7.  Complaints, suspension and removal</w:t>
      </w:r>
    </w:p>
    <w:p>
      <w:pPr>
        <w:pStyle w:val="ListNumber"/>
        <w:spacing w:after="60"/>
        <w:jc w:val="both"/>
      </w:pPr>
      <w:r>
        <w:rPr>
          <w:rFonts w:ascii="Calibri" w:hAnsi="Calibri"/>
          <w:b w:val="0"/>
          <w:i w:val="0"/>
          <w:color w:val="1B2A32"/>
          <w:sz w:val="21"/>
        </w:rPr>
        <w:t>A complaint is received by the Registrar and acknowledged; the mediator is given the substance and an opportunity to respond.</w:t>
      </w:r>
    </w:p>
    <w:p>
      <w:pPr>
        <w:pStyle w:val="ListNumber"/>
        <w:spacing w:after="60"/>
        <w:jc w:val="both"/>
      </w:pPr>
      <w:r>
        <w:rPr>
          <w:rFonts w:ascii="Calibri" w:hAnsi="Calibri"/>
          <w:b w:val="0"/>
          <w:i w:val="0"/>
          <w:color w:val="1B2A32"/>
          <w:sz w:val="21"/>
        </w:rPr>
        <w:t>The Panel Committee investigates proportionately and confidentially.</w:t>
      </w:r>
    </w:p>
    <w:p>
      <w:pPr>
        <w:pStyle w:val="ListNumber"/>
        <w:spacing w:after="60"/>
        <w:jc w:val="both"/>
      </w:pPr>
      <w:r>
        <w:rPr>
          <w:rFonts w:ascii="Calibri" w:hAnsi="Calibri"/>
          <w:b w:val="0"/>
          <w:i w:val="0"/>
          <w:color w:val="1B2A32"/>
          <w:sz w:val="21"/>
        </w:rPr>
        <w:t xml:space="preserve">Interim </w:t>
      </w:r>
      <w:r>
        <w:rPr>
          <w:rFonts w:ascii="Calibri" w:hAnsi="Calibri"/>
          <w:b/>
          <w:i w:val="0"/>
          <w:color w:val="1B2A32"/>
          <w:sz w:val="21"/>
        </w:rPr>
        <w:t>suspension</w:t>
      </w:r>
      <w:r>
        <w:rPr>
          <w:rFonts w:ascii="Calibri" w:hAnsi="Calibri"/>
          <w:b w:val="0"/>
          <w:i w:val="0"/>
          <w:color w:val="1B2A32"/>
          <w:sz w:val="21"/>
        </w:rPr>
        <w:t xml:space="preserve"> may be imposed where there is a risk to a party or to the integrity of the process.</w:t>
      </w:r>
    </w:p>
    <w:p>
      <w:pPr>
        <w:pStyle w:val="ListNumber"/>
        <w:spacing w:after="60"/>
        <w:jc w:val="both"/>
      </w:pPr>
      <w:r>
        <w:rPr>
          <w:rFonts w:ascii="Calibri" w:hAnsi="Calibri"/>
          <w:b w:val="0"/>
          <w:i w:val="0"/>
          <w:color w:val="1B2A32"/>
          <w:sz w:val="21"/>
        </w:rPr>
        <w:t xml:space="preserve">Outcomes range from no action, advice, training or supervision, to conditions, suspension or </w:t>
      </w:r>
      <w:r>
        <w:rPr>
          <w:rFonts w:ascii="Calibri" w:hAnsi="Calibri"/>
          <w:b/>
          <w:i w:val="0"/>
          <w:color w:val="1B2A32"/>
          <w:sz w:val="21"/>
        </w:rPr>
        <w:t>removal</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The mediator may seek </w:t>
      </w:r>
      <w:r>
        <w:rPr>
          <w:rFonts w:ascii="Calibri" w:hAnsi="Calibri"/>
          <w:b/>
          <w:i w:val="0"/>
          <w:color w:val="1B2A32"/>
          <w:sz w:val="21"/>
        </w:rPr>
        <w:t>review</w:t>
      </w:r>
      <w:r>
        <w:rPr>
          <w:rFonts w:ascii="Calibri" w:hAnsi="Calibri"/>
          <w:b w:val="0"/>
          <w:i w:val="0"/>
          <w:color w:val="1B2A32"/>
          <w:sz w:val="21"/>
        </w:rPr>
        <w:t xml:space="preserve"> by a differently constituted committee.</w:t>
      </w:r>
    </w:p>
    <w:p>
      <w:pPr>
        <w:pStyle w:val="ListNumber"/>
        <w:spacing w:after="60"/>
        <w:jc w:val="both"/>
      </w:pPr>
      <w:r>
        <w:rPr>
          <w:rFonts w:ascii="Calibri" w:hAnsi="Calibri"/>
          <w:b w:val="0"/>
          <w:i w:val="0"/>
          <w:color w:val="1B2A32"/>
          <w:sz w:val="21"/>
        </w:rPr>
        <w:t>Serious matters are referred to the relevant professional or statutory body; findings are recorded in the panel register.</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Automatic review triggers</w:t>
            </w:r>
          </w:p>
          <w:p>
            <w:r>
              <w:rPr>
                <w:rFonts w:ascii="Calibri" w:hAnsi="Calibri"/>
                <w:b w:val="0"/>
                <w:i w:val="0"/>
                <w:color w:val="1B2A32"/>
                <w:sz w:val="19"/>
              </w:rPr>
              <w:t>A safety incident, a breach of confidentiality, a finding of partiality, a sustained quality-audit failure, or lapse of certification each trigger an immediate review.</w:t>
            </w:r>
          </w:p>
        </w:tc>
      </w:tr>
    </w:tbl>
    <w:p>
      <w:pPr>
        <w:spacing w:after="40"/>
      </w:pPr>
    </w:p>
    <w:p>
      <w:pPr>
        <w:keepNext/>
        <w:spacing w:before="280" w:after="120"/>
        <w:pBdr>
          <w:bottom w:val="single" w:sz="12" w:space="3" w:color="C6A15B"/>
        </w:pBdr>
      </w:pPr>
      <w:r>
        <w:rPr>
          <w:rFonts w:ascii="Calibri" w:hAnsi="Calibri"/>
          <w:b/>
          <w:i w:val="0"/>
          <w:color w:val="123B4F"/>
          <w:sz w:val="32"/>
        </w:rPr>
        <w:t>8.  Fees, engagement and insurance</w:t>
      </w:r>
    </w:p>
    <w:p>
      <w:pPr>
        <w:spacing w:after="120"/>
        <w:jc w:val="both"/>
      </w:pPr>
      <w:r>
        <w:rPr>
          <w:rFonts w:ascii="Calibri" w:hAnsi="Calibri"/>
          <w:b w:val="0"/>
          <w:i w:val="0"/>
          <w:color w:val="1B2A32"/>
          <w:sz w:val="21"/>
        </w:rPr>
        <w:t xml:space="preserve">Mediators are engaged as independent professionals, not employees. Fees follow the published Schedule; a mediator shall not negotiate fees directly with a party. Mediators shall maintain, or be covered by, appropriate </w:t>
      </w:r>
      <w:r>
        <w:rPr>
          <w:rFonts w:ascii="Calibri" w:hAnsi="Calibri"/>
          <w:b/>
          <w:i w:val="0"/>
          <w:color w:val="1B2A32"/>
          <w:sz w:val="21"/>
        </w:rPr>
        <w:t>professional-indemnity insurance</w:t>
      </w:r>
      <w:r>
        <w:rPr>
          <w:rFonts w:ascii="Calibri" w:hAnsi="Calibri"/>
          <w:b w:val="0"/>
          <w:i w:val="0"/>
          <w:color w:val="1B2A32"/>
          <w:sz w:val="21"/>
        </w:rPr>
        <w:t xml:space="preserve"> as the Institution requires.</w:t>
      </w:r>
    </w:p>
    <w:p>
      <w:pPr>
        <w:keepNext/>
        <w:spacing w:before="280" w:after="120"/>
        <w:pBdr>
          <w:bottom w:val="single" w:sz="12" w:space="3" w:color="C6A15B"/>
        </w:pBdr>
      </w:pPr>
      <w:r>
        <w:rPr>
          <w:rFonts w:ascii="Calibri" w:hAnsi="Calibri"/>
          <w:b/>
          <w:i w:val="0"/>
          <w:color w:val="123B4F"/>
          <w:sz w:val="32"/>
        </w:rPr>
        <w:t>9.  Register and transparency</w:t>
      </w:r>
    </w:p>
    <w:p>
      <w:pPr>
        <w:spacing w:after="120"/>
        <w:jc w:val="both"/>
      </w:pPr>
      <w:r>
        <w:rPr>
          <w:rFonts w:ascii="Calibri" w:hAnsi="Calibri"/>
          <w:b w:val="0"/>
          <w:i w:val="0"/>
          <w:color w:val="1B2A32"/>
          <w:sz w:val="21"/>
        </w:rPr>
        <w:t xml:space="preserve">The Institution maintains a </w:t>
      </w:r>
      <w:r>
        <w:rPr>
          <w:rFonts w:ascii="Calibri" w:hAnsi="Calibri"/>
          <w:b/>
          <w:i w:val="0"/>
          <w:color w:val="1B2A32"/>
          <w:sz w:val="21"/>
        </w:rPr>
        <w:t>panel register</w:t>
      </w:r>
      <w:r>
        <w:rPr>
          <w:rFonts w:ascii="Calibri" w:hAnsi="Calibri"/>
          <w:b w:val="0"/>
          <w:i w:val="0"/>
          <w:color w:val="1B2A32"/>
          <w:sz w:val="21"/>
        </w:rPr>
        <w:t xml:space="preserve"> recording each mediator's grade, specialisms, languages, certification status, review outcomes and any conditions. Appropriate particulars are published so parties can make an informed choice.</w:t>
      </w:r>
    </w:p>
    <w:p>
      <w:pPr>
        <w:spacing w:after="40"/>
        <w:jc w:val="both"/>
      </w:pPr>
      <w:r>
        <w:rPr>
          <w:rFonts w:ascii="Calibri" w:hAnsi="Calibri"/>
          <w:b w:val="0"/>
          <w:i w:val="0"/>
          <w:color w:val="1B2A32"/>
          <w:sz w:val="21"/>
        </w:rPr>
        <w:t>These Bye-laws are a draft for adoption; settle with counsel and align with the Mediation Council of India's requirements once notified. Not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660C33-1158-418B-8F25-507B7E6B3F7E}"/>
</file>

<file path=customXml/itemProps3.xml><?xml version="1.0" encoding="utf-8"?>
<ds:datastoreItem xmlns:ds="http://schemas.openxmlformats.org/officeDocument/2006/customXml" ds:itemID="{CB445FFD-CEEF-40C6-A24E-85E262C2E1E7}"/>
</file>

<file path=customXml/itemProps4.xml><?xml version="1.0" encoding="utf-8"?>
<ds:datastoreItem xmlns:ds="http://schemas.openxmlformats.org/officeDocument/2006/customXml" ds:itemID="{1669207D-3A36-48F9-9A81-33C2CE90012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