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Family Mediation</w:t>
      </w:r>
    </w:p>
    <w:p>
      <w:pPr>
        <w:pBdr>
          <w:top w:val="single" w:sz="14" w:space="6" w:color="C6A15B"/>
          <w:bottom w:val="single" w:sz="14" w:space="6" w:color="C6A15B"/>
        </w:pBdr>
      </w:pPr>
    </w:p>
    <w:p>
      <w:pPr>
        <w:spacing w:before="600"/>
        <w:jc w:val="center"/>
      </w:pPr>
      <w:r>
        <w:rPr>
          <w:rFonts w:ascii="Calibri" w:hAnsi="Calibri"/>
          <w:b/>
          <w:i w:val="0"/>
          <w:color w:val="123B4F"/>
          <w:sz w:val="48"/>
        </w:rPr>
        <w:t>Equator Rules of Mediation (Family)</w:t>
      </w:r>
    </w:p>
    <w:p>
      <w:pPr>
        <w:jc w:val="center"/>
      </w:pPr>
      <w:r>
        <w:rPr>
          <w:rFonts w:ascii="Calibri" w:hAnsi="Calibri"/>
          <w:b w:val="0"/>
          <w:i/>
          <w:color w:val="556168"/>
          <w:sz w:val="25"/>
        </w:rPr>
        <w:t>The published rulebook governing family mediations administered by Equator Resolution</w:t>
      </w:r>
    </w:p>
    <w:p/>
    <w:p/>
    <w:p/>
    <w:p/>
    <w:p/>
    <w:p/>
    <w:p/>
    <w:p/>
    <w:p>
      <w:pPr>
        <w:jc w:val="center"/>
      </w:pPr>
      <w:r>
        <w:rPr>
          <w:rFonts w:ascii="Calibri" w:hAnsi="Calibri"/>
          <w:b/>
          <w:i w:val="0"/>
          <w:color w:val="1E7A8C"/>
          <w:sz w:val="22"/>
        </w:rPr>
        <w:t>Family &amp; Marital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Preamble &amp; application</w:t>
      </w:r>
    </w:p>
    <w:p>
      <w:pPr>
        <w:spacing w:after="120"/>
        <w:jc w:val="both"/>
      </w:pPr>
      <w:r>
        <w:rPr>
          <w:rFonts w:ascii="Calibri" w:hAnsi="Calibri"/>
          <w:b w:val="0"/>
          <w:i w:val="0"/>
          <w:color w:val="1B2A32"/>
          <w:sz w:val="21"/>
        </w:rPr>
        <w:t xml:space="preserve">These Rules govern every family and matrimonial mediation administered by </w:t>
      </w:r>
      <w:r>
        <w:rPr>
          <w:rFonts w:ascii="Calibri" w:hAnsi="Calibri"/>
          <w:b/>
          <w:i w:val="0"/>
          <w:color w:val="1B2A32"/>
          <w:sz w:val="21"/>
        </w:rPr>
        <w:t>Equator Resolution</w:t>
      </w:r>
      <w:r>
        <w:rPr>
          <w:rFonts w:ascii="Calibri" w:hAnsi="Calibri"/>
          <w:b w:val="0"/>
          <w:i w:val="0"/>
          <w:color w:val="1B2A32"/>
          <w:sz w:val="21"/>
        </w:rPr>
        <w:t xml:space="preserve"> ("Equator", "the Institution"). They apply where the parties agree to mediate under the Equator Rules — by a clause, a joint reference, an accepted invitation, or a referral by a court under section 89 of the Code of Civil Procedure, 1908 or the Family Courts Act, 1984. They are to be read with the </w:t>
      </w:r>
      <w:r>
        <w:rPr>
          <w:rFonts w:ascii="Calibri" w:hAnsi="Calibri"/>
          <w:b/>
          <w:i w:val="0"/>
          <w:color w:val="1B2A32"/>
          <w:sz w:val="21"/>
        </w:rPr>
        <w:t>Mediation Act, 2023</w:t>
      </w:r>
      <w:r>
        <w:rPr>
          <w:rFonts w:ascii="Calibri" w:hAnsi="Calibri"/>
          <w:b w:val="0"/>
          <w:i w:val="0"/>
          <w:color w:val="1B2A32"/>
          <w:sz w:val="21"/>
        </w:rPr>
        <w:t xml:space="preserve"> and all applicable law. These Rules are published; the internal Master Blueprint is not part of them.</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Paramount considerations</w:t>
            </w:r>
          </w:p>
          <w:p>
            <w:r>
              <w:rPr>
                <w:rFonts w:ascii="Calibri" w:hAnsi="Calibri"/>
                <w:b w:val="0"/>
                <w:i w:val="0"/>
                <w:color w:val="1B2A32"/>
                <w:sz w:val="19"/>
              </w:rPr>
              <w:t xml:space="preserve">In every family mediation the Institution and the mediator shall give paramount regard to (a) the </w:t>
            </w:r>
            <w:r>
              <w:rPr>
                <w:rFonts w:ascii="Calibri" w:hAnsi="Calibri"/>
                <w:b/>
                <w:i w:val="0"/>
                <w:color w:val="1B2A32"/>
                <w:sz w:val="19"/>
              </w:rPr>
              <w:t>safety</w:t>
            </w:r>
            <w:r>
              <w:rPr>
                <w:rFonts w:ascii="Calibri" w:hAnsi="Calibri"/>
                <w:b w:val="0"/>
                <w:i w:val="0"/>
                <w:color w:val="1B2A32"/>
                <w:sz w:val="19"/>
              </w:rPr>
              <w:t xml:space="preserve"> of the parties and any child, (b) the </w:t>
            </w:r>
            <w:r>
              <w:rPr>
                <w:rFonts w:ascii="Calibri" w:hAnsi="Calibri"/>
                <w:b/>
                <w:i w:val="0"/>
                <w:color w:val="1B2A32"/>
                <w:sz w:val="19"/>
              </w:rPr>
              <w:t>best interests of any child</w:t>
            </w:r>
            <w:r>
              <w:rPr>
                <w:rFonts w:ascii="Calibri" w:hAnsi="Calibri"/>
                <w:b w:val="0"/>
                <w:i w:val="0"/>
                <w:color w:val="1B2A32"/>
                <w:sz w:val="19"/>
              </w:rPr>
              <w:t xml:space="preserve">, and (c) the </w:t>
            </w:r>
            <w:r>
              <w:rPr>
                <w:rFonts w:ascii="Calibri" w:hAnsi="Calibri"/>
                <w:b/>
                <w:i w:val="0"/>
                <w:color w:val="1B2A32"/>
                <w:sz w:val="19"/>
              </w:rPr>
              <w:t>voluntariness</w:t>
            </w:r>
            <w:r>
              <w:rPr>
                <w:rFonts w:ascii="Calibri" w:hAnsi="Calibri"/>
                <w:b w:val="0"/>
                <w:i w:val="0"/>
                <w:color w:val="1B2A32"/>
                <w:sz w:val="19"/>
              </w:rPr>
              <w:t xml:space="preserve"> of participation and of any settlement. Where these conflict with expedition, they prevail.</w:t>
            </w:r>
          </w:p>
        </w:tc>
      </w:tr>
    </w:tbl>
    <w:p>
      <w:pPr>
        <w:spacing w:after="40"/>
      </w:pPr>
    </w:p>
    <w:p>
      <w:pPr>
        <w:keepNext/>
        <w:spacing w:before="280" w:after="120"/>
        <w:pBdr>
          <w:bottom w:val="single" w:sz="12" w:space="3" w:color="C6A15B"/>
        </w:pBdr>
      </w:pPr>
      <w:r>
        <w:rPr>
          <w:rFonts w:ascii="Calibri" w:hAnsi="Calibri"/>
          <w:b/>
          <w:i w:val="0"/>
          <w:color w:val="123B4F"/>
          <w:sz w:val="32"/>
        </w:rPr>
        <w:t>1.  Definitions</w:t>
      </w:r>
    </w:p>
    <w:p>
      <w:pPr>
        <w:pStyle w:val="ListBullet"/>
        <w:spacing w:after="60"/>
        <w:jc w:val="both"/>
      </w:pPr>
      <w:r>
        <w:rPr>
          <w:rFonts w:ascii="Calibri" w:hAnsi="Calibri"/>
          <w:b/>
          <w:i w:val="0"/>
          <w:color w:val="1B2A32"/>
          <w:sz w:val="21"/>
        </w:rPr>
        <w:t>"Party"</w:t>
      </w:r>
      <w:r>
        <w:rPr>
          <w:rFonts w:ascii="Calibri" w:hAnsi="Calibri"/>
          <w:b w:val="0"/>
          <w:i w:val="0"/>
          <w:color w:val="1B2A32"/>
          <w:sz w:val="21"/>
        </w:rPr>
        <w:t xml:space="preserve"> means a person referred to mediation, including a spouse, partner, guardian or other participant admitted by the mediator.</w:t>
      </w:r>
    </w:p>
    <w:p>
      <w:pPr>
        <w:pStyle w:val="ListBullet"/>
        <w:spacing w:after="60"/>
        <w:jc w:val="both"/>
      </w:pPr>
      <w:r>
        <w:rPr>
          <w:rFonts w:ascii="Calibri" w:hAnsi="Calibri"/>
          <w:b/>
          <w:i w:val="0"/>
          <w:color w:val="1B2A32"/>
          <w:sz w:val="21"/>
        </w:rPr>
        <w:t>"Mediator"</w:t>
      </w:r>
      <w:r>
        <w:rPr>
          <w:rFonts w:ascii="Calibri" w:hAnsi="Calibri"/>
          <w:b w:val="0"/>
          <w:i w:val="0"/>
          <w:color w:val="1B2A32"/>
          <w:sz w:val="21"/>
        </w:rPr>
        <w:t xml:space="preserve"> means a neutral appointed under these Rules from the Equator panel.</w:t>
      </w:r>
    </w:p>
    <w:p>
      <w:pPr>
        <w:pStyle w:val="ListBullet"/>
        <w:spacing w:after="60"/>
        <w:jc w:val="both"/>
      </w:pPr>
      <w:r>
        <w:rPr>
          <w:rFonts w:ascii="Calibri" w:hAnsi="Calibri"/>
          <w:b/>
          <w:i w:val="0"/>
          <w:color w:val="1B2A32"/>
          <w:sz w:val="21"/>
        </w:rPr>
        <w:t>"MSA"</w:t>
      </w:r>
      <w:r>
        <w:rPr>
          <w:rFonts w:ascii="Calibri" w:hAnsi="Calibri"/>
          <w:b w:val="0"/>
          <w:i w:val="0"/>
          <w:color w:val="1B2A32"/>
          <w:sz w:val="21"/>
        </w:rPr>
        <w:t xml:space="preserve"> means a mediated settlement agreement under the Mediation Act, 2023.</w:t>
      </w:r>
    </w:p>
    <w:p>
      <w:pPr>
        <w:pStyle w:val="ListBullet"/>
        <w:spacing w:after="60"/>
        <w:jc w:val="both"/>
      </w:pPr>
      <w:r>
        <w:rPr>
          <w:rFonts w:ascii="Calibri" w:hAnsi="Calibri"/>
          <w:b/>
          <w:i w:val="0"/>
          <w:color w:val="1B2A32"/>
          <w:sz w:val="21"/>
        </w:rPr>
        <w:t>"Case Manager"</w:t>
      </w:r>
      <w:r>
        <w:rPr>
          <w:rFonts w:ascii="Calibri" w:hAnsi="Calibri"/>
          <w:b w:val="0"/>
          <w:i w:val="0"/>
          <w:color w:val="1B2A32"/>
          <w:sz w:val="21"/>
        </w:rPr>
        <w:t xml:space="preserve"> means the Equator officer administering a case; </w:t>
      </w:r>
      <w:r>
        <w:rPr>
          <w:rFonts w:ascii="Calibri" w:hAnsi="Calibri"/>
          <w:b/>
          <w:i w:val="0"/>
          <w:color w:val="1B2A32"/>
          <w:sz w:val="21"/>
        </w:rPr>
        <w:t>"Registrar"</w:t>
      </w:r>
      <w:r>
        <w:rPr>
          <w:rFonts w:ascii="Calibri" w:hAnsi="Calibri"/>
          <w:b w:val="0"/>
          <w:i w:val="0"/>
          <w:color w:val="1B2A32"/>
          <w:sz w:val="21"/>
        </w:rPr>
        <w:t xml:space="preserve"> maintains the register of cases and settlements.</w:t>
      </w:r>
    </w:p>
    <w:p>
      <w:pPr>
        <w:pStyle w:val="ListBullet"/>
        <w:spacing w:after="60"/>
        <w:jc w:val="both"/>
      </w:pPr>
      <w:r>
        <w:rPr>
          <w:rFonts w:ascii="Calibri" w:hAnsi="Calibri"/>
          <w:b/>
          <w:i w:val="0"/>
          <w:color w:val="1B2A32"/>
          <w:sz w:val="21"/>
        </w:rPr>
        <w:t>"Screening"</w:t>
      </w:r>
      <w:r>
        <w:rPr>
          <w:rFonts w:ascii="Calibri" w:hAnsi="Calibri"/>
          <w:b w:val="0"/>
          <w:i w:val="0"/>
          <w:color w:val="1B2A32"/>
          <w:sz w:val="21"/>
        </w:rPr>
        <w:t xml:space="preserve"> means the confidential safety and suitability assessment conducted with each party separately.</w:t>
      </w:r>
    </w:p>
    <w:p>
      <w:pPr>
        <w:pStyle w:val="ListBullet"/>
        <w:spacing w:after="60"/>
        <w:jc w:val="both"/>
      </w:pPr>
      <w:r>
        <w:rPr>
          <w:rFonts w:ascii="Calibri" w:hAnsi="Calibri"/>
          <w:b/>
          <w:i w:val="0"/>
          <w:color w:val="1B2A32"/>
          <w:sz w:val="21"/>
        </w:rPr>
        <w:t>"Caucus"</w:t>
      </w:r>
      <w:r>
        <w:rPr>
          <w:rFonts w:ascii="Calibri" w:hAnsi="Calibri"/>
          <w:b w:val="0"/>
          <w:i w:val="0"/>
          <w:color w:val="1B2A32"/>
          <w:sz w:val="21"/>
        </w:rPr>
        <w:t xml:space="preserve"> means a private session between the mediator and one party.</w:t>
      </w:r>
    </w:p>
    <w:p>
      <w:pPr>
        <w:keepNext/>
        <w:spacing w:before="280" w:after="120"/>
        <w:pBdr>
          <w:bottom w:val="single" w:sz="12" w:space="3" w:color="C6A15B"/>
        </w:pBdr>
      </w:pPr>
      <w:r>
        <w:rPr>
          <w:rFonts w:ascii="Calibri" w:hAnsi="Calibri"/>
          <w:b/>
          <w:i w:val="0"/>
          <w:color w:val="123B4F"/>
          <w:sz w:val="32"/>
        </w:rPr>
        <w:t>2.  Scope — matters mediable under these Rules</w:t>
      </w:r>
    </w:p>
    <w:p>
      <w:pPr>
        <w:spacing w:after="120"/>
        <w:jc w:val="both"/>
      </w:pPr>
      <w:r>
        <w:rPr>
          <w:rFonts w:ascii="Calibri" w:hAnsi="Calibri"/>
          <w:b w:val="0"/>
          <w:i w:val="0"/>
          <w:color w:val="1B2A32"/>
          <w:sz w:val="21"/>
        </w:rPr>
        <w:t xml:space="preserve">Subject to Rule 21 (Exclusions), the following may be referred: divorce by mutual consent and the terms attending a contested separation; maintenance and spousal support; </w:t>
      </w:r>
      <w:r>
        <w:rPr>
          <w:rFonts w:ascii="Calibri" w:hAnsi="Calibri"/>
          <w:b/>
          <w:i w:val="0"/>
          <w:color w:val="1B2A32"/>
          <w:sz w:val="21"/>
        </w:rPr>
        <w:t>custody, guardianship and parenting arrangements</w:t>
      </w:r>
      <w:r>
        <w:rPr>
          <w:rFonts w:ascii="Calibri" w:hAnsi="Calibri"/>
          <w:b w:val="0"/>
          <w:i w:val="0"/>
          <w:color w:val="1B2A32"/>
          <w:sz w:val="21"/>
        </w:rPr>
        <w:t xml:space="preserve">; matrimonial property, *stridhan* and financial disclosure; residence and household arrangements; and the civil terms attending proceedings under the Protection of Women from Domestic Violence Act, 2005 or a criminal complaint, </w:t>
      </w:r>
      <w:r>
        <w:rPr>
          <w:rFonts w:ascii="Calibri" w:hAnsi="Calibri"/>
          <w:b/>
          <w:i w:val="0"/>
          <w:color w:val="1B2A32"/>
          <w:sz w:val="21"/>
        </w:rPr>
        <w:t>subject always to Rule 4 and Rule 21</w:t>
      </w:r>
      <w:r>
        <w:rPr>
          <w:rFonts w:ascii="Calibri" w:hAnsi="Calibri"/>
          <w:b w:val="0"/>
          <w:i w:val="0"/>
          <w:color w:val="1B2A32"/>
          <w:sz w:val="21"/>
        </w:rPr>
        <w:t>.</w:t>
      </w:r>
    </w:p>
    <w:p>
      <w:pPr>
        <w:keepNext/>
        <w:spacing w:before="280" w:after="120"/>
        <w:pBdr>
          <w:bottom w:val="single" w:sz="12" w:space="3" w:color="C6A15B"/>
        </w:pBdr>
      </w:pPr>
      <w:r>
        <w:rPr>
          <w:rFonts w:ascii="Calibri" w:hAnsi="Calibri"/>
          <w:b/>
          <w:i w:val="0"/>
          <w:color w:val="123B4F"/>
          <w:sz w:val="32"/>
        </w:rPr>
        <w:t>3.  Safety screening — a condition precedent</w:t>
      </w:r>
    </w:p>
    <w:p>
      <w:pPr>
        <w:spacing w:after="120"/>
        <w:jc w:val="both"/>
      </w:pPr>
      <w:r>
        <w:rPr>
          <w:rFonts w:ascii="Calibri" w:hAnsi="Calibri"/>
          <w:b w:val="0"/>
          <w:i w:val="0"/>
          <w:color w:val="1B2A32"/>
          <w:sz w:val="21"/>
        </w:rPr>
        <w:t xml:space="preserve">No joint session shall be convened until each party has completed a </w:t>
      </w:r>
      <w:r>
        <w:rPr>
          <w:rFonts w:ascii="Calibri" w:hAnsi="Calibri"/>
          <w:b/>
          <w:i w:val="0"/>
          <w:color w:val="1B2A32"/>
          <w:sz w:val="21"/>
        </w:rPr>
        <w:t>confidential screening</w:t>
      </w:r>
      <w:r>
        <w:rPr>
          <w:rFonts w:ascii="Calibri" w:hAnsi="Calibri"/>
          <w:b w:val="0"/>
          <w:i w:val="0"/>
          <w:color w:val="1B2A32"/>
          <w:sz w:val="21"/>
        </w:rPr>
        <w:t xml:space="preserve"> with the Institution. Screening is conducted separately; its content is not disclosed to the other party, nor is the fact or content of one party's screening communicated to the other. Where screening discloses domestic violence, coercive control, a material power imbalance, a capacity concern or a risk to a child, the Case Manager shall record a </w:t>
      </w:r>
      <w:r>
        <w:rPr>
          <w:rFonts w:ascii="Calibri" w:hAnsi="Calibri"/>
          <w:b/>
          <w:i w:val="0"/>
          <w:color w:val="1B2A32"/>
          <w:sz w:val="21"/>
        </w:rPr>
        <w:t>safety flag</w:t>
      </w:r>
      <w:r>
        <w:rPr>
          <w:rFonts w:ascii="Calibri" w:hAnsi="Calibri"/>
          <w:b w:val="0"/>
          <w:i w:val="0"/>
          <w:color w:val="1B2A32"/>
          <w:sz w:val="21"/>
        </w:rPr>
        <w:t>, and:</w:t>
      </w:r>
    </w:p>
    <w:p>
      <w:pPr>
        <w:pStyle w:val="ListNumber"/>
        <w:spacing w:after="60"/>
        <w:jc w:val="both"/>
      </w:pPr>
      <w:r>
        <w:rPr>
          <w:rFonts w:ascii="Calibri" w:hAnsi="Calibri"/>
          <w:b w:val="0"/>
          <w:i w:val="0"/>
          <w:color w:val="1B2A32"/>
          <w:sz w:val="21"/>
        </w:rPr>
        <w:t>no joint session shall take place while the flag subsists;</w:t>
      </w:r>
    </w:p>
    <w:p>
      <w:pPr>
        <w:pStyle w:val="ListNumber"/>
        <w:spacing w:after="60"/>
        <w:jc w:val="both"/>
      </w:pPr>
      <w:r>
        <w:rPr>
          <w:rFonts w:ascii="Calibri" w:hAnsi="Calibri"/>
          <w:b w:val="0"/>
          <w:i w:val="0"/>
          <w:color w:val="1B2A32"/>
          <w:sz w:val="21"/>
        </w:rPr>
        <w:t xml:space="preserve">the matter may proceed, if at all, only by </w:t>
      </w:r>
      <w:r>
        <w:rPr>
          <w:rFonts w:ascii="Calibri" w:hAnsi="Calibri"/>
          <w:b/>
          <w:i w:val="0"/>
          <w:color w:val="1B2A32"/>
          <w:sz w:val="21"/>
        </w:rPr>
        <w:t>shuttle mediation</w:t>
      </w:r>
      <w:r>
        <w:rPr>
          <w:rFonts w:ascii="Calibri" w:hAnsi="Calibri"/>
          <w:b w:val="0"/>
          <w:i w:val="0"/>
          <w:color w:val="1B2A32"/>
          <w:sz w:val="21"/>
        </w:rPr>
        <w:t xml:space="preserve"> or with such safeguards as the mediator directs;</w:t>
      </w:r>
    </w:p>
    <w:p>
      <w:pPr>
        <w:pStyle w:val="ListNumber"/>
        <w:spacing w:after="60"/>
        <w:jc w:val="both"/>
      </w:pPr>
      <w:r>
        <w:rPr>
          <w:rFonts w:ascii="Calibri" w:hAnsi="Calibri"/>
          <w:b w:val="0"/>
          <w:i w:val="0"/>
          <w:color w:val="1B2A32"/>
          <w:sz w:val="21"/>
        </w:rPr>
        <w:t>support services and, where appropriate, protection remedies and the police shall be signposted; and</w:t>
      </w:r>
    </w:p>
    <w:p>
      <w:pPr>
        <w:pStyle w:val="ListNumber"/>
        <w:spacing w:after="60"/>
        <w:jc w:val="both"/>
      </w:pPr>
      <w:r>
        <w:rPr>
          <w:rFonts w:ascii="Calibri" w:hAnsi="Calibri"/>
          <w:b w:val="0"/>
          <w:i w:val="0"/>
          <w:color w:val="1B2A32"/>
          <w:sz w:val="21"/>
        </w:rPr>
        <w:t>the mediator may decline or terminate the mediation as unsuitable, without attributing fault to either party.</w:t>
      </w:r>
    </w:p>
    <w:p>
      <w:pPr>
        <w:spacing w:after="120"/>
        <w:jc w:val="both"/>
      </w:pPr>
      <w:r>
        <w:rPr>
          <w:rFonts w:ascii="Calibri" w:hAnsi="Calibri"/>
          <w:b w:val="0"/>
          <w:i w:val="0"/>
          <w:color w:val="1B2A32"/>
          <w:sz w:val="21"/>
        </w:rPr>
        <w:t>Nothing in these Rules requires a party to meet, be in the presence of, or communicate directly with another party.</w:t>
      </w:r>
    </w:p>
    <w:p>
      <w:pPr>
        <w:keepNext/>
        <w:spacing w:before="280" w:after="120"/>
        <w:pBdr>
          <w:bottom w:val="single" w:sz="12" w:space="3" w:color="C6A15B"/>
        </w:pBdr>
      </w:pPr>
      <w:r>
        <w:rPr>
          <w:rFonts w:ascii="Calibri" w:hAnsi="Calibri"/>
          <w:b/>
          <w:i w:val="0"/>
          <w:color w:val="123B4F"/>
          <w:sz w:val="32"/>
        </w:rPr>
        <w:t>4.  Commencement</w:t>
      </w:r>
    </w:p>
    <w:p>
      <w:pPr>
        <w:spacing w:after="120"/>
        <w:jc w:val="both"/>
      </w:pPr>
      <w:r>
        <w:rPr>
          <w:rFonts w:ascii="Calibri" w:hAnsi="Calibri"/>
          <w:b w:val="0"/>
          <w:i w:val="0"/>
          <w:color w:val="1B2A32"/>
          <w:sz w:val="21"/>
        </w:rPr>
        <w:t xml:space="preserve">A mediation commences when a party files a </w:t>
      </w:r>
      <w:r>
        <w:rPr>
          <w:rFonts w:ascii="Calibri" w:hAnsi="Calibri"/>
          <w:b/>
          <w:i w:val="0"/>
          <w:color w:val="1B2A32"/>
          <w:sz w:val="21"/>
        </w:rPr>
        <w:t>Request for Mediation</w:t>
      </w:r>
      <w:r>
        <w:rPr>
          <w:rFonts w:ascii="Calibri" w:hAnsi="Calibri"/>
          <w:b w:val="0"/>
          <w:i w:val="0"/>
          <w:color w:val="1B2A32"/>
          <w:sz w:val="21"/>
        </w:rPr>
        <w:t xml:space="preserve"> with the prescribed particulars and fee, when the parties jointly refer a dispute, or on a </w:t>
      </w:r>
      <w:r>
        <w:rPr>
          <w:rFonts w:ascii="Calibri" w:hAnsi="Calibri"/>
          <w:b/>
          <w:i w:val="0"/>
          <w:color w:val="1B2A32"/>
          <w:sz w:val="21"/>
        </w:rPr>
        <w:t>court referral</w:t>
      </w:r>
      <w:r>
        <w:rPr>
          <w:rFonts w:ascii="Calibri" w:hAnsi="Calibri"/>
          <w:b w:val="0"/>
          <w:i w:val="0"/>
          <w:color w:val="1B2A32"/>
          <w:sz w:val="21"/>
        </w:rPr>
        <w:t>. The Case Manager verifies identity and consent, allots a case number, and arranges screening.</w:t>
      </w:r>
    </w:p>
    <w:p>
      <w:pPr>
        <w:keepNext/>
        <w:spacing w:before="280" w:after="120"/>
        <w:pBdr>
          <w:bottom w:val="single" w:sz="12" w:space="3" w:color="C6A15B"/>
        </w:pBdr>
      </w:pPr>
      <w:r>
        <w:rPr>
          <w:rFonts w:ascii="Calibri" w:hAnsi="Calibri"/>
          <w:b/>
          <w:i w:val="0"/>
          <w:color w:val="123B4F"/>
          <w:sz w:val="32"/>
        </w:rPr>
        <w:t>5.  Either-party initiation; invitation and response</w:t>
      </w:r>
    </w:p>
    <w:p>
      <w:pPr>
        <w:spacing w:after="120"/>
        <w:jc w:val="both"/>
      </w:pPr>
      <w:r>
        <w:rPr>
          <w:rFonts w:ascii="Calibri" w:hAnsi="Calibri"/>
          <w:b w:val="0"/>
          <w:i w:val="0"/>
          <w:color w:val="1B2A32"/>
          <w:sz w:val="21"/>
        </w:rPr>
        <w:t xml:space="preserve">Either party may initiate. The Institution shall invite the other party to participate and allow a reasonable period (ordinarily 14 days) to respond. </w:t>
      </w:r>
      <w:r>
        <w:rPr>
          <w:rFonts w:ascii="Calibri" w:hAnsi="Calibri"/>
          <w:b/>
          <w:i w:val="0"/>
          <w:color w:val="1B2A32"/>
          <w:sz w:val="21"/>
        </w:rPr>
        <w:t>Participation is voluntary</w:t>
      </w:r>
      <w:r>
        <w:rPr>
          <w:rFonts w:ascii="Calibri" w:hAnsi="Calibri"/>
          <w:b w:val="0"/>
          <w:i w:val="0"/>
          <w:color w:val="1B2A32"/>
          <w:sz w:val="21"/>
        </w:rPr>
        <w:t>; a party may decline or withdraw at any time and without giving reasons. Where a party declines, the Institution issues a non-commencement report; no adverse inference is drawn and the parties' remedies are unaffected.</w:t>
      </w:r>
    </w:p>
    <w:p>
      <w:pPr>
        <w:keepNext/>
        <w:spacing w:before="280" w:after="120"/>
        <w:pBdr>
          <w:bottom w:val="single" w:sz="12" w:space="3" w:color="C6A15B"/>
        </w:pBdr>
      </w:pPr>
      <w:r>
        <w:rPr>
          <w:rFonts w:ascii="Calibri" w:hAnsi="Calibri"/>
          <w:b/>
          <w:i w:val="0"/>
          <w:color w:val="123B4F"/>
          <w:sz w:val="32"/>
        </w:rPr>
        <w:t>6.  Appointment of the mediator</w:t>
      </w:r>
    </w:p>
    <w:p>
      <w:pPr>
        <w:spacing w:after="120"/>
        <w:jc w:val="both"/>
      </w:pPr>
      <w:r>
        <w:rPr>
          <w:rFonts w:ascii="Calibri" w:hAnsi="Calibri"/>
          <w:b w:val="0"/>
          <w:i w:val="0"/>
          <w:color w:val="1B2A32"/>
          <w:sz w:val="21"/>
        </w:rPr>
        <w:t xml:space="preserve">Unless the parties agree on a named mediator, the Institution appoints from its panel having regard to the nature of the dispute, the presence of children, the languages of the parties, any expressed preference (including as to the </w:t>
      </w:r>
      <w:r>
        <w:rPr>
          <w:rFonts w:ascii="Calibri" w:hAnsi="Calibri"/>
          <w:b/>
          <w:i w:val="0"/>
          <w:color w:val="1B2A32"/>
          <w:sz w:val="21"/>
        </w:rPr>
        <w:t>gender</w:t>
      </w:r>
      <w:r>
        <w:rPr>
          <w:rFonts w:ascii="Calibri" w:hAnsi="Calibri"/>
          <w:b w:val="0"/>
          <w:i w:val="0"/>
          <w:color w:val="1B2A32"/>
          <w:sz w:val="21"/>
        </w:rPr>
        <w:t xml:space="preserve"> of the mediator), availability and the conflict position. In a matter involving allegations of violence or a marked power imbalance, the Institution shall appoint a mediator with relevant training.</w:t>
      </w:r>
    </w:p>
    <w:p>
      <w:pPr>
        <w:keepNext/>
        <w:spacing w:before="280" w:after="120"/>
        <w:pBdr>
          <w:bottom w:val="single" w:sz="12" w:space="3" w:color="C6A15B"/>
        </w:pBdr>
      </w:pPr>
      <w:r>
        <w:rPr>
          <w:rFonts w:ascii="Calibri" w:hAnsi="Calibri"/>
          <w:b/>
          <w:i w:val="0"/>
          <w:color w:val="123B4F"/>
          <w:sz w:val="32"/>
        </w:rPr>
        <w:t>7.  Independence, impartiality, disclosure and challenge</w:t>
      </w:r>
    </w:p>
    <w:p>
      <w:pPr>
        <w:spacing w:after="120"/>
        <w:jc w:val="both"/>
      </w:pPr>
      <w:r>
        <w:rPr>
          <w:rFonts w:ascii="Calibri" w:hAnsi="Calibri"/>
          <w:b w:val="0"/>
          <w:i w:val="0"/>
          <w:color w:val="1B2A32"/>
          <w:sz w:val="21"/>
        </w:rPr>
        <w:t xml:space="preserve">A mediator must be and remain independent and impartial, must sign a </w:t>
      </w:r>
      <w:r>
        <w:rPr>
          <w:rFonts w:ascii="Calibri" w:hAnsi="Calibri"/>
          <w:b/>
          <w:i w:val="0"/>
          <w:color w:val="1B2A32"/>
          <w:sz w:val="21"/>
        </w:rPr>
        <w:t>disclosure</w:t>
      </w:r>
      <w:r>
        <w:rPr>
          <w:rFonts w:ascii="Calibri" w:hAnsi="Calibri"/>
          <w:b w:val="0"/>
          <w:i w:val="0"/>
          <w:color w:val="1B2A32"/>
          <w:sz w:val="21"/>
        </w:rPr>
        <w:t xml:space="preserve"> before acting, and is under a </w:t>
      </w:r>
      <w:r>
        <w:rPr>
          <w:rFonts w:ascii="Calibri" w:hAnsi="Calibri"/>
          <w:b/>
          <w:i w:val="0"/>
          <w:color w:val="1B2A32"/>
          <w:sz w:val="21"/>
        </w:rPr>
        <w:t>continuing duty</w:t>
      </w:r>
      <w:r>
        <w:rPr>
          <w:rFonts w:ascii="Calibri" w:hAnsi="Calibri"/>
          <w:b w:val="0"/>
          <w:i w:val="0"/>
          <w:color w:val="1B2A32"/>
          <w:sz w:val="21"/>
        </w:rPr>
        <w:t xml:space="preserve"> to disclose anything that might give rise to justifiable doubts. A party may challenge a mediator; the Institution decides the challenge and, if upheld, appoints a replacement. A mediator shall decline or withdraw where a real conflict exists, or where continuing would be inconsistent with Rule 4.</w:t>
      </w:r>
    </w:p>
    <w:p>
      <w:pPr>
        <w:keepNext/>
        <w:spacing w:before="280" w:after="120"/>
        <w:pBdr>
          <w:bottom w:val="single" w:sz="12" w:space="3" w:color="C6A15B"/>
        </w:pBdr>
      </w:pPr>
      <w:r>
        <w:rPr>
          <w:rFonts w:ascii="Calibri" w:hAnsi="Calibri"/>
          <w:b/>
          <w:i w:val="0"/>
          <w:color w:val="123B4F"/>
          <w:sz w:val="32"/>
        </w:rPr>
        <w:t>8.  Conduct of the mediation</w:t>
      </w:r>
    </w:p>
    <w:p>
      <w:pPr>
        <w:spacing w:after="120"/>
        <w:jc w:val="both"/>
      </w:pPr>
      <w:r>
        <w:rPr>
          <w:rFonts w:ascii="Calibri" w:hAnsi="Calibri"/>
          <w:b w:val="0"/>
          <w:i w:val="0"/>
          <w:color w:val="1B2A32"/>
          <w:sz w:val="21"/>
        </w:rPr>
        <w:t xml:space="preserve">The mediator conducts the process flexibly, fairly and expeditiously, in joint session, caucus or shuttle, in person or online. The mediator does </w:t>
      </w:r>
      <w:r>
        <w:rPr>
          <w:rFonts w:ascii="Calibri" w:hAnsi="Calibri"/>
          <w:b/>
          <w:i w:val="0"/>
          <w:color w:val="1B2A32"/>
          <w:sz w:val="21"/>
        </w:rPr>
        <w:t>not</w:t>
      </w:r>
      <w:r>
        <w:rPr>
          <w:rFonts w:ascii="Calibri" w:hAnsi="Calibri"/>
          <w:b w:val="0"/>
          <w:i w:val="0"/>
          <w:color w:val="1B2A32"/>
          <w:sz w:val="21"/>
        </w:rPr>
        <w:t xml:space="preserve"> decide the dispute, does </w:t>
      </w:r>
      <w:r>
        <w:rPr>
          <w:rFonts w:ascii="Calibri" w:hAnsi="Calibri"/>
          <w:b/>
          <w:i w:val="0"/>
          <w:color w:val="1B2A32"/>
          <w:sz w:val="21"/>
        </w:rPr>
        <w:t>not</w:t>
      </w:r>
      <w:r>
        <w:rPr>
          <w:rFonts w:ascii="Calibri" w:hAnsi="Calibri"/>
          <w:b w:val="0"/>
          <w:i w:val="0"/>
          <w:color w:val="1B2A32"/>
          <w:sz w:val="21"/>
        </w:rPr>
        <w:t xml:space="preserve"> give legal advice, and shall not pressure any party to settle. The mediator shall ensure each party has a genuine opportunity to be heard, to understand the terms under discussion, and to obtain independent legal advice.</w:t>
      </w:r>
    </w:p>
    <w:p>
      <w:pPr>
        <w:keepNext/>
        <w:spacing w:before="280" w:after="120"/>
        <w:pBdr>
          <w:bottom w:val="single" w:sz="12" w:space="3" w:color="C6A15B"/>
        </w:pBdr>
      </w:pPr>
      <w:r>
        <w:rPr>
          <w:rFonts w:ascii="Calibri" w:hAnsi="Calibri"/>
          <w:b/>
          <w:i w:val="0"/>
          <w:color w:val="123B4F"/>
          <w:sz w:val="32"/>
        </w:rPr>
        <w:t>9.  Children</w:t>
      </w:r>
    </w:p>
    <w:p>
      <w:pPr>
        <w:spacing w:after="120"/>
        <w:jc w:val="both"/>
      </w:pPr>
      <w:r>
        <w:rPr>
          <w:rFonts w:ascii="Calibri" w:hAnsi="Calibri"/>
          <w:b w:val="0"/>
          <w:i w:val="0"/>
          <w:color w:val="1B2A32"/>
          <w:sz w:val="21"/>
        </w:rPr>
        <w:t xml:space="preserve">The mediator shall keep the </w:t>
      </w:r>
      <w:r>
        <w:rPr>
          <w:rFonts w:ascii="Calibri" w:hAnsi="Calibri"/>
          <w:b/>
          <w:i w:val="0"/>
          <w:color w:val="1B2A32"/>
          <w:sz w:val="21"/>
        </w:rPr>
        <w:t>best interests of the child</w:t>
      </w:r>
      <w:r>
        <w:rPr>
          <w:rFonts w:ascii="Calibri" w:hAnsi="Calibri"/>
          <w:b w:val="0"/>
          <w:i w:val="0"/>
          <w:color w:val="1B2A32"/>
          <w:sz w:val="21"/>
        </w:rPr>
        <w:t xml:space="preserve"> at the centre of any discussion about children. A child shall not be made to choose between parents. </w:t>
      </w:r>
      <w:r>
        <w:rPr>
          <w:rFonts w:ascii="Calibri" w:hAnsi="Calibri"/>
          <w:b/>
          <w:i w:val="0"/>
          <w:color w:val="1B2A32"/>
          <w:sz w:val="21"/>
        </w:rPr>
        <w:t>Child-inclusive mediation</w:t>
      </w:r>
      <w:r>
        <w:rPr>
          <w:rFonts w:ascii="Calibri" w:hAnsi="Calibri"/>
          <w:b w:val="0"/>
          <w:i w:val="0"/>
          <w:color w:val="1B2A32"/>
          <w:sz w:val="21"/>
        </w:rPr>
        <w:t xml:space="preserve"> may be used only with the informed consent of both parties and the child, and only by a mediator or specialist trained for it; the child's views are conveyed as the child wishes and the child is not made responsible for the outcome.</w:t>
      </w:r>
    </w:p>
    <w:p>
      <w:pPr>
        <w:keepNext/>
        <w:spacing w:before="280" w:after="120"/>
        <w:pBdr>
          <w:bottom w:val="single" w:sz="12" w:space="3" w:color="C6A15B"/>
        </w:pBdr>
      </w:pPr>
      <w:r>
        <w:rPr>
          <w:rFonts w:ascii="Calibri" w:hAnsi="Calibri"/>
          <w:b/>
          <w:i w:val="0"/>
          <w:color w:val="123B4F"/>
          <w:sz w:val="32"/>
        </w:rPr>
        <w:t>10.  Representation, support and interpretation</w:t>
      </w:r>
    </w:p>
    <w:p>
      <w:pPr>
        <w:spacing w:after="120"/>
        <w:jc w:val="both"/>
      </w:pPr>
      <w:r>
        <w:rPr>
          <w:rFonts w:ascii="Calibri" w:hAnsi="Calibri"/>
          <w:b w:val="0"/>
          <w:i w:val="0"/>
          <w:color w:val="1B2A32"/>
          <w:sz w:val="21"/>
        </w:rPr>
        <w:t>A party may be accompanied by a lawyer, a support person or an interpreter, subject to the mediator's directions. The Institution shall make reasonable adjustments for disability, language and literacy, and shall signpost legal aid where a party is unrepresented and would benefit from advice.</w:t>
      </w:r>
    </w:p>
    <w:p>
      <w:pPr>
        <w:keepNext/>
        <w:spacing w:before="280" w:after="120"/>
        <w:pBdr>
          <w:bottom w:val="single" w:sz="12" w:space="3" w:color="C6A15B"/>
        </w:pBdr>
      </w:pPr>
      <w:r>
        <w:rPr>
          <w:rFonts w:ascii="Calibri" w:hAnsi="Calibri"/>
          <w:b/>
          <w:i w:val="0"/>
          <w:color w:val="123B4F"/>
          <w:sz w:val="32"/>
        </w:rPr>
        <w:t>11.  Confidentiality and without prejudice</w:t>
      </w:r>
    </w:p>
    <w:p>
      <w:pPr>
        <w:spacing w:after="120"/>
        <w:jc w:val="both"/>
      </w:pPr>
      <w:r>
        <w:rPr>
          <w:rFonts w:ascii="Calibri" w:hAnsi="Calibri"/>
          <w:b w:val="0"/>
          <w:i w:val="0"/>
          <w:color w:val="1B2A32"/>
          <w:sz w:val="21"/>
        </w:rPr>
        <w:t xml:space="preserve">The mediation is </w:t>
      </w:r>
      <w:r>
        <w:rPr>
          <w:rFonts w:ascii="Calibri" w:hAnsi="Calibri"/>
          <w:b/>
          <w:i w:val="0"/>
          <w:color w:val="1B2A32"/>
          <w:sz w:val="21"/>
        </w:rPr>
        <w:t>confidential</w:t>
      </w:r>
      <w:r>
        <w:rPr>
          <w:rFonts w:ascii="Calibri" w:hAnsi="Calibri"/>
          <w:b w:val="0"/>
          <w:i w:val="0"/>
          <w:color w:val="1B2A32"/>
          <w:sz w:val="21"/>
        </w:rPr>
        <w:t xml:space="preserve"> and </w:t>
      </w:r>
      <w:r>
        <w:rPr>
          <w:rFonts w:ascii="Calibri" w:hAnsi="Calibri"/>
          <w:b/>
          <w:i w:val="0"/>
          <w:color w:val="1B2A32"/>
          <w:sz w:val="21"/>
        </w:rPr>
        <w:t>without prejudice</w:t>
      </w:r>
      <w:r>
        <w:rPr>
          <w:rFonts w:ascii="Calibri" w:hAnsi="Calibri"/>
          <w:b w:val="0"/>
          <w:i w:val="0"/>
          <w:color w:val="1B2A32"/>
          <w:sz w:val="21"/>
        </w:rPr>
        <w:t xml:space="preserve"> (Mediation Act, s.22). Anything said, admitted or proposed is inadmissible in later proceedings, save the signed MSA and the statutory exceptions — including where disclosure is necessary to prevent a </w:t>
      </w:r>
      <w:r>
        <w:rPr>
          <w:rFonts w:ascii="Calibri" w:hAnsi="Calibri"/>
          <w:b/>
          <w:i w:val="0"/>
          <w:color w:val="1B2A32"/>
          <w:sz w:val="21"/>
        </w:rPr>
        <w:t>threat to life or safety</w:t>
      </w:r>
      <w:r>
        <w:rPr>
          <w:rFonts w:ascii="Calibri" w:hAnsi="Calibri"/>
          <w:b w:val="0"/>
          <w:i w:val="0"/>
          <w:color w:val="1B2A32"/>
          <w:sz w:val="21"/>
        </w:rPr>
        <w:t xml:space="preserve"> or to protect a </w:t>
      </w:r>
      <w:r>
        <w:rPr>
          <w:rFonts w:ascii="Calibri" w:hAnsi="Calibri"/>
          <w:b/>
          <w:i w:val="0"/>
          <w:color w:val="1B2A32"/>
          <w:sz w:val="21"/>
        </w:rPr>
        <w:t>child from harm</w:t>
      </w:r>
      <w:r>
        <w:rPr>
          <w:rFonts w:ascii="Calibri" w:hAnsi="Calibri"/>
          <w:b w:val="0"/>
          <w:i w:val="0"/>
          <w:color w:val="1B2A32"/>
          <w:sz w:val="21"/>
        </w:rPr>
        <w:t xml:space="preserve">, or where the law otherwise requires. </w:t>
      </w:r>
      <w:r>
        <w:rPr>
          <w:rFonts w:ascii="Calibri" w:hAnsi="Calibri"/>
          <w:b/>
          <w:i w:val="0"/>
          <w:color w:val="1B2A32"/>
          <w:sz w:val="21"/>
        </w:rPr>
        <w:t>Caucus information is not disclosed to the other party</w:t>
      </w:r>
      <w:r>
        <w:rPr>
          <w:rFonts w:ascii="Calibri" w:hAnsi="Calibri"/>
          <w:b w:val="0"/>
          <w:i w:val="0"/>
          <w:color w:val="1B2A32"/>
          <w:sz w:val="21"/>
        </w:rPr>
        <w:t xml:space="preserve"> without express permission.</w:t>
      </w:r>
    </w:p>
    <w:p>
      <w:pPr>
        <w:keepNext/>
        <w:spacing w:before="280" w:after="120"/>
        <w:pBdr>
          <w:bottom w:val="single" w:sz="12" w:space="3" w:color="C6A15B"/>
        </w:pBdr>
      </w:pPr>
      <w:r>
        <w:rPr>
          <w:rFonts w:ascii="Calibri" w:hAnsi="Calibri"/>
          <w:b/>
          <w:i w:val="0"/>
          <w:color w:val="123B4F"/>
          <w:sz w:val="32"/>
        </w:rPr>
        <w:t>12.  Time limits</w:t>
      </w:r>
    </w:p>
    <w:p>
      <w:pPr>
        <w:spacing w:after="120"/>
        <w:jc w:val="both"/>
      </w:pPr>
      <w:r>
        <w:rPr>
          <w:rFonts w:ascii="Calibri" w:hAnsi="Calibri"/>
          <w:b w:val="0"/>
          <w:i w:val="0"/>
          <w:color w:val="1B2A32"/>
          <w:sz w:val="21"/>
        </w:rPr>
        <w:t>Mediation is to be completed within the period fixed by the Case Manager, ordinarily consistent with the timelines of the Mediation Act, and may be extended by consent. Nothing in these Rules extends or curtails any statutory limitation; parties are advised to protect limitation independently.</w:t>
      </w:r>
    </w:p>
    <w:p>
      <w:pPr>
        <w:keepNext/>
        <w:spacing w:before="280" w:after="120"/>
        <w:pBdr>
          <w:bottom w:val="single" w:sz="12" w:space="3" w:color="C6A15B"/>
        </w:pBdr>
      </w:pPr>
      <w:r>
        <w:rPr>
          <w:rFonts w:ascii="Calibri" w:hAnsi="Calibri"/>
          <w:b/>
          <w:i w:val="0"/>
          <w:color w:val="123B4F"/>
          <w:sz w:val="32"/>
        </w:rPr>
        <w:t>13.  The settlement agreement</w:t>
      </w:r>
    </w:p>
    <w:p>
      <w:pPr>
        <w:spacing w:after="120"/>
        <w:jc w:val="both"/>
      </w:pPr>
      <w:r>
        <w:rPr>
          <w:rFonts w:ascii="Calibri" w:hAnsi="Calibri"/>
          <w:b w:val="0"/>
          <w:i w:val="0"/>
          <w:color w:val="1B2A32"/>
          <w:sz w:val="21"/>
        </w:rPr>
        <w:t xml:space="preserve">A settlement is reduced to a written </w:t>
      </w:r>
      <w:r>
        <w:rPr>
          <w:rFonts w:ascii="Calibri" w:hAnsi="Calibri"/>
          <w:b/>
          <w:i w:val="0"/>
          <w:color w:val="1B2A32"/>
          <w:sz w:val="21"/>
        </w:rPr>
        <w:t>MSA</w:t>
      </w:r>
      <w:r>
        <w:rPr>
          <w:rFonts w:ascii="Calibri" w:hAnsi="Calibri"/>
          <w:b w:val="0"/>
          <w:i w:val="0"/>
          <w:color w:val="1B2A32"/>
          <w:sz w:val="21"/>
        </w:rPr>
        <w:t xml:space="preserve"> signed by the parties and authenticated by the mediator, and may be </w:t>
      </w:r>
      <w:r>
        <w:rPr>
          <w:rFonts w:ascii="Calibri" w:hAnsi="Calibri"/>
          <w:b/>
          <w:i w:val="0"/>
          <w:color w:val="1B2A32"/>
          <w:sz w:val="21"/>
        </w:rPr>
        <w:t>e-signed and e-stamped</w:t>
      </w:r>
      <w:r>
        <w:rPr>
          <w:rFonts w:ascii="Calibri" w:hAnsi="Calibri"/>
          <w:b w:val="0"/>
          <w:i w:val="0"/>
          <w:color w:val="1B2A32"/>
          <w:sz w:val="21"/>
        </w:rPr>
        <w:t xml:space="preserve"> through the platform. An MSA is </w:t>
      </w:r>
      <w:r>
        <w:rPr>
          <w:rFonts w:ascii="Calibri" w:hAnsi="Calibri"/>
          <w:b/>
          <w:i w:val="0"/>
          <w:color w:val="1B2A32"/>
          <w:sz w:val="21"/>
        </w:rPr>
        <w:t>final and binding and enforceable as a judgment or decree of court (s.27)</w:t>
      </w:r>
      <w:r>
        <w:rPr>
          <w:rFonts w:ascii="Calibri" w:hAnsi="Calibri"/>
          <w:b w:val="0"/>
          <w:i w:val="0"/>
          <w:color w:val="1B2A32"/>
          <w:sz w:val="21"/>
        </w:rPr>
        <w:t xml:space="preserve">, and may be </w:t>
      </w:r>
      <w:r>
        <w:rPr>
          <w:rFonts w:ascii="Calibri" w:hAnsi="Calibri"/>
          <w:b/>
          <w:i w:val="0"/>
          <w:color w:val="1B2A32"/>
          <w:sz w:val="21"/>
        </w:rPr>
        <w:t>registered (s.20)</w:t>
      </w:r>
      <w:r>
        <w:rPr>
          <w:rFonts w:ascii="Calibri" w:hAnsi="Calibri"/>
          <w:b w:val="0"/>
          <w:i w:val="0"/>
          <w:color w:val="1B2A32"/>
          <w:sz w:val="21"/>
        </w:rPr>
        <w:t>. A partial settlement may be recorded, leaving other issues to be determined.</w:t>
      </w:r>
    </w:p>
    <w:p>
      <w:pPr>
        <w:keepNext/>
        <w:spacing w:before="280" w:after="120"/>
        <w:pBdr>
          <w:bottom w:val="single" w:sz="12" w:space="3" w:color="C6A15B"/>
        </w:pBdr>
      </w:pPr>
      <w:r>
        <w:rPr>
          <w:rFonts w:ascii="Calibri" w:hAnsi="Calibri"/>
          <w:b/>
          <w:i w:val="0"/>
          <w:color w:val="123B4F"/>
          <w:sz w:val="32"/>
        </w:rPr>
        <w:t>14.  Escrow and money</w:t>
      </w:r>
    </w:p>
    <w:p>
      <w:pPr>
        <w:spacing w:after="120"/>
        <w:jc w:val="both"/>
      </w:pPr>
      <w:r>
        <w:rPr>
          <w:rFonts w:ascii="Calibri" w:hAnsi="Calibri"/>
          <w:b w:val="0"/>
          <w:i w:val="0"/>
          <w:color w:val="1B2A32"/>
          <w:sz w:val="21"/>
        </w:rPr>
        <w:t xml:space="preserve">Where money is to move, the parties may use the Institution's </w:t>
      </w:r>
      <w:r>
        <w:rPr>
          <w:rFonts w:ascii="Calibri" w:hAnsi="Calibri"/>
          <w:b/>
          <w:i w:val="0"/>
          <w:color w:val="1B2A32"/>
          <w:sz w:val="21"/>
        </w:rPr>
        <w:t>escrow</w:t>
      </w:r>
      <w:r>
        <w:rPr>
          <w:rFonts w:ascii="Calibri" w:hAnsi="Calibri"/>
          <w:b w:val="0"/>
          <w:i w:val="0"/>
          <w:color w:val="1B2A32"/>
          <w:sz w:val="21"/>
        </w:rPr>
        <w:t xml:space="preserve"> facility. Funds are held by a regulated escrow agent and released only against agreed milestones, with a receipt and an audit entry for each release. The Institution does not itself hold party funds.</w:t>
      </w:r>
    </w:p>
    <w:p>
      <w:pPr>
        <w:keepNext/>
        <w:spacing w:before="280" w:after="120"/>
        <w:pBdr>
          <w:bottom w:val="single" w:sz="12" w:space="3" w:color="C6A15B"/>
        </w:pBdr>
      </w:pPr>
      <w:r>
        <w:rPr>
          <w:rFonts w:ascii="Calibri" w:hAnsi="Calibri"/>
          <w:b/>
          <w:i w:val="0"/>
          <w:color w:val="123B4F"/>
          <w:sz w:val="32"/>
        </w:rPr>
        <w:t>15.  Court-referred mediation</w:t>
      </w:r>
    </w:p>
    <w:p>
      <w:pPr>
        <w:spacing w:after="120"/>
        <w:jc w:val="both"/>
      </w:pPr>
      <w:r>
        <w:rPr>
          <w:rFonts w:ascii="Calibri" w:hAnsi="Calibri"/>
          <w:b w:val="0"/>
          <w:i w:val="0"/>
          <w:color w:val="1B2A32"/>
          <w:sz w:val="21"/>
        </w:rPr>
        <w:t>Where a court refers a matter, the Institution administers it under these Rules and reports to the court in the form and time the court directs, confining the report to the fact of settlement or non-settlement and the terms agreed, and disclosing nothing else from the mediation.</w:t>
      </w:r>
    </w:p>
    <w:p>
      <w:pPr>
        <w:keepNext/>
        <w:spacing w:before="280" w:after="120"/>
        <w:pBdr>
          <w:bottom w:val="single" w:sz="12" w:space="3" w:color="C6A15B"/>
        </w:pBdr>
      </w:pPr>
      <w:r>
        <w:rPr>
          <w:rFonts w:ascii="Calibri" w:hAnsi="Calibri"/>
          <w:b/>
          <w:i w:val="0"/>
          <w:color w:val="123B4F"/>
          <w:sz w:val="32"/>
        </w:rPr>
        <w:t>16.  Termination</w:t>
      </w:r>
    </w:p>
    <w:p>
      <w:pPr>
        <w:spacing w:after="120"/>
        <w:jc w:val="both"/>
      </w:pPr>
      <w:r>
        <w:rPr>
          <w:rFonts w:ascii="Calibri" w:hAnsi="Calibri"/>
          <w:b w:val="0"/>
          <w:i w:val="0"/>
          <w:color w:val="1B2A32"/>
          <w:sz w:val="21"/>
        </w:rPr>
        <w:t>A mediation ends on a signed MSA; on the mediator's written declaration that settlement is unlikely or that continuation would be inappropriate (including on safety grounds); on a party's withdrawal; or on non-payment of fees after notice. Termination without settlement prejudices no one, and confidentiality survives.</w:t>
      </w:r>
    </w:p>
    <w:p>
      <w:pPr>
        <w:keepNext/>
        <w:spacing w:before="280" w:after="120"/>
        <w:pBdr>
          <w:bottom w:val="single" w:sz="12" w:space="3" w:color="C6A15B"/>
        </w:pBdr>
      </w:pPr>
      <w:r>
        <w:rPr>
          <w:rFonts w:ascii="Calibri" w:hAnsi="Calibri"/>
          <w:b/>
          <w:i w:val="0"/>
          <w:color w:val="123B4F"/>
          <w:sz w:val="32"/>
        </w:rPr>
        <w:t>17.  Fees and costs</w:t>
      </w:r>
    </w:p>
    <w:p>
      <w:pPr>
        <w:spacing w:after="120"/>
        <w:jc w:val="both"/>
      </w:pPr>
      <w:r>
        <w:rPr>
          <w:rFonts w:ascii="Calibri" w:hAnsi="Calibri"/>
          <w:b w:val="0"/>
          <w:i w:val="0"/>
          <w:color w:val="1B2A32"/>
          <w:sz w:val="21"/>
        </w:rPr>
        <w:t xml:space="preserve">Fees are charged under the published </w:t>
      </w:r>
      <w:r>
        <w:rPr>
          <w:rFonts w:ascii="Calibri" w:hAnsi="Calibri"/>
          <w:b/>
          <w:i w:val="0"/>
          <w:color w:val="1B2A32"/>
          <w:sz w:val="21"/>
        </w:rPr>
        <w:t>Schedule of Fees</w:t>
      </w:r>
      <w:r>
        <w:rPr>
          <w:rFonts w:ascii="Calibri" w:hAnsi="Calibri"/>
          <w:b w:val="0"/>
          <w:i w:val="0"/>
          <w:color w:val="1B2A32"/>
          <w:sz w:val="21"/>
        </w:rPr>
        <w:t xml:space="preserve">. Unless agreed otherwise, administration and mediator fees are shared equally and each party bears its own costs. </w:t>
      </w:r>
      <w:r>
        <w:rPr>
          <w:rFonts w:ascii="Calibri" w:hAnsi="Calibri"/>
          <w:b/>
          <w:i w:val="0"/>
          <w:color w:val="1B2A32"/>
          <w:sz w:val="21"/>
        </w:rPr>
        <w:t>Concessions and pro-bono places</w:t>
      </w:r>
      <w:r>
        <w:rPr>
          <w:rFonts w:ascii="Calibri" w:hAnsi="Calibri"/>
          <w:b w:val="0"/>
          <w:i w:val="0"/>
          <w:color w:val="1B2A32"/>
          <w:sz w:val="21"/>
        </w:rPr>
        <w:t xml:space="preserve"> are available on a means basis; a party's inability to pay shall not, of itself, deny access.</w:t>
      </w:r>
    </w:p>
    <w:p>
      <w:pPr>
        <w:keepNext/>
        <w:spacing w:before="280" w:after="120"/>
        <w:pBdr>
          <w:bottom w:val="single" w:sz="12" w:space="3" w:color="C6A15B"/>
        </w:pBdr>
      </w:pPr>
      <w:r>
        <w:rPr>
          <w:rFonts w:ascii="Calibri" w:hAnsi="Calibri"/>
          <w:b/>
          <w:i w:val="0"/>
          <w:color w:val="123B4F"/>
          <w:sz w:val="32"/>
        </w:rPr>
        <w:t>18.  Data protection</w:t>
      </w:r>
    </w:p>
    <w:p>
      <w:pPr>
        <w:spacing w:after="120"/>
        <w:jc w:val="both"/>
      </w:pPr>
      <w:r>
        <w:rPr>
          <w:rFonts w:ascii="Calibri" w:hAnsi="Calibri"/>
          <w:b w:val="0"/>
          <w:i w:val="0"/>
          <w:color w:val="1B2A32"/>
          <w:sz w:val="21"/>
        </w:rPr>
        <w:t xml:space="preserve">The Institution processes personal data in accordance with the </w:t>
      </w:r>
      <w:r>
        <w:rPr>
          <w:rFonts w:ascii="Calibri" w:hAnsi="Calibri"/>
          <w:b/>
          <w:i w:val="0"/>
          <w:color w:val="1B2A32"/>
          <w:sz w:val="21"/>
        </w:rPr>
        <w:t>DPDP Act, 2023</w:t>
      </w:r>
      <w:r>
        <w:rPr>
          <w:rFonts w:ascii="Calibri" w:hAnsi="Calibri"/>
          <w:b w:val="0"/>
          <w:i w:val="0"/>
          <w:color w:val="1B2A32"/>
          <w:sz w:val="21"/>
        </w:rPr>
        <w:t>: lawful consent, purpose limitation, minimisation, security safeguards, breach handling and defined retention. Children's data is minimised. The published Privacy Policy and Notice form part of the terms of service.</w:t>
      </w:r>
    </w:p>
    <w:p>
      <w:pPr>
        <w:keepNext/>
        <w:spacing w:before="280" w:after="120"/>
        <w:pBdr>
          <w:bottom w:val="single" w:sz="12" w:space="3" w:color="C6A15B"/>
        </w:pBdr>
      </w:pPr>
      <w:r>
        <w:rPr>
          <w:rFonts w:ascii="Calibri" w:hAnsi="Calibri"/>
          <w:b/>
          <w:i w:val="0"/>
          <w:color w:val="123B4F"/>
          <w:sz w:val="32"/>
        </w:rPr>
        <w:t>19.  Ethics and conduct</w:t>
      </w:r>
    </w:p>
    <w:p>
      <w:pPr>
        <w:spacing w:after="120"/>
        <w:jc w:val="both"/>
      </w:pPr>
      <w:r>
        <w:rPr>
          <w:rFonts w:ascii="Calibri" w:hAnsi="Calibri"/>
          <w:b w:val="0"/>
          <w:i w:val="0"/>
          <w:color w:val="1B2A32"/>
          <w:sz w:val="21"/>
        </w:rPr>
        <w:t xml:space="preserve">Mediators and staff are bound by the </w:t>
      </w:r>
      <w:r>
        <w:rPr>
          <w:rFonts w:ascii="Calibri" w:hAnsi="Calibri"/>
          <w:b/>
          <w:i w:val="0"/>
          <w:color w:val="1B2A32"/>
          <w:sz w:val="21"/>
        </w:rPr>
        <w:t>Code of Conduct</w:t>
      </w:r>
      <w:r>
        <w:rPr>
          <w:rFonts w:ascii="Calibri" w:hAnsi="Calibri"/>
          <w:b w:val="0"/>
          <w:i w:val="0"/>
          <w:color w:val="1B2A32"/>
          <w:sz w:val="21"/>
        </w:rPr>
        <w:t xml:space="preserve"> (Annexure A) and, where applicable, the standards of the Mediation Council of India. Breach may result in removal from the panel and referral to the relevant professional or statutory body.</w:t>
      </w:r>
    </w:p>
    <w:p>
      <w:pPr>
        <w:keepNext/>
        <w:spacing w:before="280" w:after="120"/>
        <w:pBdr>
          <w:bottom w:val="single" w:sz="12" w:space="3" w:color="C6A15B"/>
        </w:pBdr>
      </w:pPr>
      <w:r>
        <w:rPr>
          <w:rFonts w:ascii="Calibri" w:hAnsi="Calibri"/>
          <w:b/>
          <w:i w:val="0"/>
          <w:color w:val="123B4F"/>
          <w:sz w:val="32"/>
        </w:rPr>
        <w:t>20.  Exclusions</w:t>
      </w:r>
    </w:p>
    <w:p>
      <w:pPr>
        <w:spacing w:after="120"/>
        <w:jc w:val="both"/>
      </w:pPr>
      <w:r>
        <w:rPr>
          <w:rFonts w:ascii="Calibri" w:hAnsi="Calibri"/>
          <w:b w:val="0"/>
          <w:i w:val="0"/>
          <w:color w:val="1B2A32"/>
          <w:sz w:val="21"/>
        </w:rPr>
        <w:t xml:space="preserve">The following are </w:t>
      </w:r>
      <w:r>
        <w:rPr>
          <w:rFonts w:ascii="Calibri" w:hAnsi="Calibri"/>
          <w:b/>
          <w:i w:val="0"/>
          <w:color w:val="1B2A32"/>
          <w:sz w:val="21"/>
        </w:rPr>
        <w:t>not</w:t>
      </w:r>
      <w:r>
        <w:rPr>
          <w:rFonts w:ascii="Calibri" w:hAnsi="Calibri"/>
          <w:b w:val="0"/>
          <w:i w:val="0"/>
          <w:color w:val="1B2A32"/>
          <w:sz w:val="21"/>
        </w:rPr>
        <w:t xml:space="preserve"> mediable under these Rules, save that the civil or financial terms attending them may be discussed where lawful and safe to do so:</w:t>
      </w:r>
    </w:p>
    <w:p>
      <w:pPr>
        <w:pStyle w:val="ListBullet"/>
        <w:spacing w:after="60"/>
        <w:jc w:val="both"/>
      </w:pPr>
      <w:r>
        <w:rPr>
          <w:rFonts w:ascii="Calibri" w:hAnsi="Calibri"/>
          <w:b w:val="0"/>
          <w:i w:val="0"/>
          <w:color w:val="1B2A32"/>
          <w:sz w:val="21"/>
        </w:rPr>
        <w:t>matters excluded by the Mediation Act, 2023 (including its First Schedule) or otherwise non-mediable in law;</w:t>
      </w:r>
    </w:p>
    <w:p>
      <w:pPr>
        <w:pStyle w:val="ListBullet"/>
        <w:spacing w:after="60"/>
        <w:jc w:val="both"/>
      </w:pPr>
      <w:r>
        <w:rPr>
          <w:rFonts w:ascii="Calibri" w:hAnsi="Calibri"/>
          <w:b w:val="0"/>
          <w:i w:val="0"/>
          <w:color w:val="1B2A32"/>
          <w:sz w:val="21"/>
        </w:rPr>
        <w:t xml:space="preserve">the </w:t>
      </w:r>
      <w:r>
        <w:rPr>
          <w:rFonts w:ascii="Calibri" w:hAnsi="Calibri"/>
          <w:b/>
          <w:i w:val="0"/>
          <w:color w:val="1B2A32"/>
          <w:sz w:val="21"/>
        </w:rPr>
        <w:t>criminal liability</w:t>
      </w:r>
      <w:r>
        <w:rPr>
          <w:rFonts w:ascii="Calibri" w:hAnsi="Calibri"/>
          <w:b w:val="0"/>
          <w:i w:val="0"/>
          <w:color w:val="1B2A32"/>
          <w:sz w:val="21"/>
        </w:rPr>
        <w:t xml:space="preserve"> of any person (a settlement does not compound an offence except as the law permits, and any compounding or quashing is for the court alone);</w:t>
      </w:r>
    </w:p>
    <w:p>
      <w:pPr>
        <w:pStyle w:val="ListBullet"/>
        <w:spacing w:after="60"/>
        <w:jc w:val="both"/>
      </w:pPr>
      <w:r>
        <w:rPr>
          <w:rFonts w:ascii="Calibri" w:hAnsi="Calibri"/>
          <w:b w:val="0"/>
          <w:i w:val="0"/>
          <w:color w:val="1B2A32"/>
          <w:sz w:val="21"/>
        </w:rPr>
        <w:t>any matter where a party lacks capacity to participate, or where participation would be unsafe;</w:t>
      </w:r>
    </w:p>
    <w:p>
      <w:pPr>
        <w:pStyle w:val="ListBullet"/>
        <w:spacing w:after="60"/>
        <w:jc w:val="both"/>
      </w:pPr>
      <w:r>
        <w:rPr>
          <w:rFonts w:ascii="Calibri" w:hAnsi="Calibri"/>
          <w:b w:val="0"/>
          <w:i w:val="0"/>
          <w:color w:val="1B2A32"/>
          <w:sz w:val="21"/>
        </w:rPr>
        <w:t>any matter the Institution considers unsuitable for consensual resolution or contrary to law or public policy.</w:t>
      </w:r>
    </w:p>
    <w:p>
      <w:pPr>
        <w:keepNext/>
        <w:spacing w:before="280" w:after="120"/>
        <w:pBdr>
          <w:bottom w:val="single" w:sz="12" w:space="3" w:color="C6A15B"/>
        </w:pBdr>
      </w:pPr>
      <w:r>
        <w:rPr>
          <w:rFonts w:ascii="Calibri" w:hAnsi="Calibri"/>
          <w:b/>
          <w:i w:val="0"/>
          <w:color w:val="123B4F"/>
          <w:sz w:val="32"/>
        </w:rPr>
        <w:t>21.  Limitation of liability; general</w:t>
      </w:r>
    </w:p>
    <w:p>
      <w:pPr>
        <w:spacing w:after="120"/>
        <w:jc w:val="both"/>
      </w:pPr>
      <w:r>
        <w:rPr>
          <w:rFonts w:ascii="Calibri" w:hAnsi="Calibri"/>
          <w:b w:val="0"/>
          <w:i w:val="0"/>
          <w:color w:val="1B2A32"/>
          <w:sz w:val="21"/>
        </w:rPr>
        <w:t>The Institution and its mediators act in good faith and are not liable for the parties' decisions or for any settlement the parties choose to make; nothing excludes liability that cannot lawfully be excluded. The Institution may amend these Rules; the version current at commencement governs a case. Questions of interpretation are decided by the Institution. These Rules are governed by the laws of India.</w:t>
      </w:r>
    </w:p>
    <w:p>
      <w:r>
        <w:br w:type="page"/>
      </w:r>
    </w:p>
    <w:p>
      <w:pPr>
        <w:keepNext/>
        <w:spacing w:before="280" w:after="120"/>
        <w:pBdr>
          <w:bottom w:val="single" w:sz="12" w:space="3" w:color="C6A15B"/>
        </w:pBdr>
      </w:pPr>
      <w:r>
        <w:rPr>
          <w:rFonts w:ascii="Calibri" w:hAnsi="Calibri"/>
          <w:b/>
          <w:i w:val="0"/>
          <w:color w:val="123B4F"/>
          <w:sz w:val="32"/>
        </w:rPr>
        <w:t>Annexure A — Mediator Code of Conduct</w:t>
      </w:r>
    </w:p>
    <w:p>
      <w:pPr>
        <w:pStyle w:val="ListBullet"/>
        <w:spacing w:after="60"/>
        <w:jc w:val="both"/>
      </w:pPr>
      <w:r>
        <w:rPr>
          <w:rFonts w:ascii="Calibri" w:hAnsi="Calibri"/>
          <w:b/>
          <w:i w:val="0"/>
          <w:color w:val="1B2A32"/>
          <w:sz w:val="21"/>
        </w:rPr>
        <w:t>Independence &amp; impartiality</w:t>
      </w:r>
      <w:r>
        <w:rPr>
          <w:rFonts w:ascii="Calibri" w:hAnsi="Calibri"/>
          <w:b w:val="0"/>
          <w:i w:val="0"/>
          <w:color w:val="1B2A32"/>
          <w:sz w:val="21"/>
        </w:rPr>
        <w:t xml:space="preserve"> — act without favour; disclose and manage every conflict; withdraw where required.</w:t>
      </w:r>
    </w:p>
    <w:p>
      <w:pPr>
        <w:pStyle w:val="ListBullet"/>
        <w:spacing w:after="60"/>
        <w:jc w:val="both"/>
      </w:pPr>
      <w:r>
        <w:rPr>
          <w:rFonts w:ascii="Calibri" w:hAnsi="Calibri"/>
          <w:b/>
          <w:i w:val="0"/>
          <w:color w:val="1B2A32"/>
          <w:sz w:val="21"/>
        </w:rPr>
        <w:t>Safety first</w:t>
      </w:r>
      <w:r>
        <w:rPr>
          <w:rFonts w:ascii="Calibri" w:hAnsi="Calibri"/>
          <w:b w:val="0"/>
          <w:i w:val="0"/>
          <w:color w:val="1B2A32"/>
          <w:sz w:val="21"/>
        </w:rPr>
        <w:t xml:space="preserve"> — recognise abuse and coercion; never require contact; escalate risk to a child.</w:t>
      </w:r>
    </w:p>
    <w:p>
      <w:pPr>
        <w:pStyle w:val="ListBullet"/>
        <w:spacing w:after="60"/>
        <w:jc w:val="both"/>
      </w:pPr>
      <w:r>
        <w:rPr>
          <w:rFonts w:ascii="Calibri" w:hAnsi="Calibri"/>
          <w:b/>
          <w:i w:val="0"/>
          <w:color w:val="1B2A32"/>
          <w:sz w:val="21"/>
        </w:rPr>
        <w:t>Voluntariness</w:t>
      </w:r>
      <w:r>
        <w:rPr>
          <w:rFonts w:ascii="Calibri" w:hAnsi="Calibri"/>
          <w:b w:val="0"/>
          <w:i w:val="0"/>
          <w:color w:val="1B2A32"/>
          <w:sz w:val="21"/>
        </w:rPr>
        <w:t xml:space="preserve"> — never pressure a party to settle; ensure informed consent and the chance to take advice.</w:t>
      </w:r>
    </w:p>
    <w:p>
      <w:pPr>
        <w:pStyle w:val="ListBullet"/>
        <w:spacing w:after="60"/>
        <w:jc w:val="both"/>
      </w:pPr>
      <w:r>
        <w:rPr>
          <w:rFonts w:ascii="Calibri" w:hAnsi="Calibri"/>
          <w:b/>
          <w:i w:val="0"/>
          <w:color w:val="1B2A32"/>
          <w:sz w:val="21"/>
        </w:rPr>
        <w:t>Competence</w:t>
      </w:r>
      <w:r>
        <w:rPr>
          <w:rFonts w:ascii="Calibri" w:hAnsi="Calibri"/>
          <w:b w:val="0"/>
          <w:i w:val="0"/>
          <w:color w:val="1B2A32"/>
          <w:sz w:val="21"/>
        </w:rPr>
        <w:t xml:space="preserve"> — accept only matters within one's training; maintain CPD and certification.</w:t>
      </w:r>
    </w:p>
    <w:p>
      <w:pPr>
        <w:pStyle w:val="ListBullet"/>
        <w:spacing w:after="60"/>
        <w:jc w:val="both"/>
      </w:pPr>
      <w:r>
        <w:rPr>
          <w:rFonts w:ascii="Calibri" w:hAnsi="Calibri"/>
          <w:b/>
          <w:i w:val="0"/>
          <w:color w:val="1B2A32"/>
          <w:sz w:val="21"/>
        </w:rPr>
        <w:t>Confidentiality</w:t>
      </w:r>
      <w:r>
        <w:rPr>
          <w:rFonts w:ascii="Calibri" w:hAnsi="Calibri"/>
          <w:b w:val="0"/>
          <w:i w:val="0"/>
          <w:color w:val="1B2A32"/>
          <w:sz w:val="21"/>
        </w:rPr>
        <w:t xml:space="preserve"> — honour s.22 and the caucus rule absolutely, subject only to the safety and legal exceptions.</w:t>
      </w:r>
    </w:p>
    <w:p>
      <w:pPr>
        <w:pStyle w:val="ListBullet"/>
        <w:spacing w:after="60"/>
        <w:jc w:val="both"/>
      </w:pPr>
      <w:r>
        <w:rPr>
          <w:rFonts w:ascii="Calibri" w:hAnsi="Calibri"/>
          <w:b/>
          <w:i w:val="0"/>
          <w:color w:val="1B2A32"/>
          <w:sz w:val="21"/>
        </w:rPr>
        <w:t>Child focus</w:t>
      </w:r>
      <w:r>
        <w:rPr>
          <w:rFonts w:ascii="Calibri" w:hAnsi="Calibri"/>
          <w:b w:val="0"/>
          <w:i w:val="0"/>
          <w:color w:val="1B2A32"/>
          <w:sz w:val="21"/>
        </w:rPr>
        <w:t xml:space="preserve"> — keep the child's welfare central; never use a child as a bargaining counter or a messenger.</w:t>
      </w:r>
    </w:p>
    <w:p>
      <w:pPr>
        <w:pStyle w:val="ListBullet"/>
        <w:spacing w:after="60"/>
        <w:jc w:val="both"/>
      </w:pPr>
      <w:r>
        <w:rPr>
          <w:rFonts w:ascii="Calibri" w:hAnsi="Calibri"/>
          <w:b/>
          <w:i w:val="0"/>
          <w:color w:val="1B2A32"/>
          <w:sz w:val="21"/>
        </w:rPr>
        <w:t>Integrity</w:t>
      </w:r>
      <w:r>
        <w:rPr>
          <w:rFonts w:ascii="Calibri" w:hAnsi="Calibri"/>
          <w:b w:val="0"/>
          <w:i w:val="0"/>
          <w:color w:val="1B2A32"/>
          <w:sz w:val="21"/>
        </w:rPr>
        <w:t xml:space="preserve"> — no solicitation, no personal benefit, no misuse of information, no advice-giving.</w:t>
      </w:r>
    </w:p>
    <w:p>
      <w:pPr>
        <w:pStyle w:val="ListBullet"/>
        <w:spacing w:after="60"/>
        <w:jc w:val="both"/>
      </w:pPr>
      <w:r>
        <w:rPr>
          <w:rFonts w:ascii="Calibri" w:hAnsi="Calibri"/>
          <w:b/>
          <w:i w:val="0"/>
          <w:color w:val="1B2A32"/>
          <w:sz w:val="21"/>
        </w:rPr>
        <w:t>Non-discrimination</w:t>
      </w:r>
      <w:r>
        <w:rPr>
          <w:rFonts w:ascii="Calibri" w:hAnsi="Calibri"/>
          <w:b w:val="0"/>
          <w:i w:val="0"/>
          <w:color w:val="1B2A32"/>
          <w:sz w:val="21"/>
        </w:rPr>
        <w:t xml:space="preserve"> — even-handed across gender, religion, personal-law regime, language, disability and means.</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Breach</w:t>
            </w:r>
          </w:p>
          <w:p>
            <w:r>
              <w:rPr>
                <w:rFonts w:ascii="Calibri" w:hAnsi="Calibri"/>
                <w:b w:val="0"/>
                <w:i w:val="0"/>
                <w:color w:val="1B2A32"/>
                <w:sz w:val="19"/>
              </w:rPr>
              <w:t>A breach may result in suspension or removal from the panel, forfeiture of certification, and referral to the appropriate professional or statutory body.</w:t>
            </w:r>
          </w:p>
        </w:tc>
      </w:tr>
    </w:tbl>
    <w:p>
      <w:pPr>
        <w:spacing w:after="40"/>
      </w:pPr>
    </w:p>
    <w:p>
      <w:pPr>
        <w:spacing w:after="40"/>
        <w:jc w:val="both"/>
      </w:pPr>
      <w:r>
        <w:rPr>
          <w:rFonts w:ascii="Calibri" w:hAnsi="Calibri"/>
          <w:b w:val="0"/>
          <w:i w:val="0"/>
          <w:color w:val="1B2A32"/>
          <w:sz w:val="21"/>
        </w:rPr>
        <w:t>These Rules are a draft for adoption. They must be settled by counsel and approved by the Board before publication, and aligned with the Mediation Council of India's requirements once notified. Not legal advice.</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Family &amp; Marital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7EEDC56-874D-40F1-A5FE-FC89ADF9571B}"/>
</file>

<file path=customXml/itemProps3.xml><?xml version="1.0" encoding="utf-8"?>
<ds:datastoreItem xmlns:ds="http://schemas.openxmlformats.org/officeDocument/2006/customXml" ds:itemID="{CCF93887-C33F-4777-A3A8-F466B8A99F19}"/>
</file>

<file path=customXml/itemProps4.xml><?xml version="1.0" encoding="utf-8"?>
<ds:datastoreItem xmlns:ds="http://schemas.openxmlformats.org/officeDocument/2006/customXml" ds:itemID="{11813639-AAC2-40C1-BFD5-2F0D5B5F0F2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