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Settlement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Family Vertical — Institutional Readiness Pack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Go-live checklist · empanelment rubric · mediator BD · panel MoU · regulatory note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Marital &amp; Family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Go-live checklist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family vertical does not launch until every row is green and the Board has signed off. Family carries two safety-critical controls that the general checklist does not: </w:t>
      </w:r>
      <w:r>
        <w:rPr>
          <w:rFonts w:ascii="Calibri" w:hAnsi="Calibri"/>
          <w:b/>
          <w:i w:val="0"/>
          <w:color w:val="1B2A32"/>
          <w:sz w:val="21"/>
        </w:rPr>
        <w:t>pre-session screening for domestic violence and coercive control</w:t>
      </w:r>
      <w:r>
        <w:rPr>
          <w:rFonts w:ascii="Calibri" w:hAnsi="Calibri"/>
          <w:b w:val="0"/>
          <w:i w:val="0"/>
          <w:color w:val="1B2A32"/>
          <w:sz w:val="21"/>
        </w:rPr>
        <w:t xml:space="preserve">, and </w:t>
      </w:r>
      <w:r>
        <w:rPr>
          <w:rFonts w:ascii="Calibri" w:hAnsi="Calibri"/>
          <w:b/>
          <w:i w:val="0"/>
          <w:color w:val="1B2A32"/>
          <w:sz w:val="21"/>
        </w:rPr>
        <w:t>the child's welfare as the paramount consideration</w:t>
      </w:r>
      <w:r>
        <w:rPr>
          <w:rFonts w:ascii="Calibri" w:hAnsi="Calibri"/>
          <w:b w:val="0"/>
          <w:i w:val="0"/>
          <w:color w:val="1B2A32"/>
          <w:sz w:val="21"/>
        </w:rPr>
        <w:t>. Both are go-live blockers.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57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04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172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1152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Blocking?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Equator Family Rules of Mediation adopted by the Board</w:t>
            </w:r>
          </w:p>
        </w:tc>
        <w:tc>
          <w:tcPr>
            <w:tcW w:type="dxa" w:w="17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GC</w:t>
            </w:r>
          </w:p>
        </w:tc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Board minute</w:t>
            </w:r>
          </w:p>
        </w:tc>
        <w:tc>
          <w:tcPr>
            <w:tcW w:type="dxa" w:w="115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2</w:t>
            </w:r>
          </w:p>
        </w:tc>
        <w:tc>
          <w:tcPr>
            <w:tcW w:type="dxa" w:w="604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Schedule of Fees adopted; legal-aid and hardship waivers published</w:t>
            </w:r>
          </w:p>
        </w:tc>
        <w:tc>
          <w:tcPr>
            <w:tcW w:type="dxa" w:w="172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CFO</w:t>
            </w:r>
          </w:p>
        </w:tc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Board minute; website</w:t>
            </w:r>
          </w:p>
        </w:tc>
        <w:tc>
          <w:tcPr>
            <w:tcW w:type="dxa" w:w="115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3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Safety screening live</w:t>
            </w: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 — confidential DV/coercive-control screening before any joint session; a safety flag blocks a joint session in the API, not just the UI</w:t>
            </w:r>
          </w:p>
        </w:tc>
        <w:tc>
          <w:tcPr>
            <w:tcW w:type="dxa" w:w="17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CTO / Head of Ops</w:t>
            </w:r>
          </w:p>
        </w:tc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Failed-joint-session test; screening SOP</w:t>
            </w:r>
          </w:p>
        </w:tc>
        <w:tc>
          <w:tcPr>
            <w:tcW w:type="dxa" w:w="115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4</w:t>
            </w:r>
          </w:p>
        </w:tc>
        <w:tc>
          <w:tcPr>
            <w:tcW w:type="dxa" w:w="6048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Child-welfare safeguards</w:t>
            </w: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 — a child's interests recorded as paramount; no child in a session without a trained professional; voice-of-the-child protocol</w:t>
            </w:r>
          </w:p>
        </w:tc>
        <w:tc>
          <w:tcPr>
            <w:tcW w:type="dxa" w:w="172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Head of Ops</w:t>
            </w:r>
          </w:p>
        </w:tc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Protocol; training log</w:t>
            </w:r>
          </w:p>
        </w:tc>
        <w:tc>
          <w:tcPr>
            <w:tcW w:type="dxa" w:w="115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5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Clock table live for limitation-sensitive matters (maintenance arrears, DV timelines, appeal windows)</w:t>
            </w:r>
          </w:p>
        </w:tc>
        <w:tc>
          <w:tcPr>
            <w:tcW w:type="dxa" w:w="17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CTO</w:t>
            </w:r>
          </w:p>
        </w:tc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Test evidence</w:t>
            </w:r>
          </w:p>
        </w:tc>
        <w:tc>
          <w:tcPr>
            <w:tcW w:type="dxa" w:w="115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6</w:t>
            </w:r>
          </w:p>
        </w:tc>
        <w:tc>
          <w:tcPr>
            <w:tcW w:type="dxa" w:w="604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Confidentiality by construction — caucus material encrypted and sealed to the neutral; no cross-party read path</w:t>
            </w:r>
          </w:p>
        </w:tc>
        <w:tc>
          <w:tcPr>
            <w:tcW w:type="dxa" w:w="172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CTO / DPO</w:t>
            </w:r>
          </w:p>
        </w:tc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Architecture review</w:t>
            </w:r>
          </w:p>
        </w:tc>
        <w:tc>
          <w:tcPr>
            <w:tcW w:type="dxa" w:w="115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7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Escrow account opened; settlement sums move only against verified milestones</w:t>
            </w:r>
          </w:p>
        </w:tc>
        <w:tc>
          <w:tcPr>
            <w:tcW w:type="dxa" w:w="17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CFO</w:t>
            </w:r>
          </w:p>
        </w:tc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Bank confirmation</w:t>
            </w:r>
          </w:p>
        </w:tc>
        <w:tc>
          <w:tcPr>
            <w:tcW w:type="dxa" w:w="115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8</w:t>
            </w:r>
          </w:p>
        </w:tc>
        <w:tc>
          <w:tcPr>
            <w:tcW w:type="dxa" w:w="604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Forms F-01..F-29 legally reviewed and version-controlled</w:t>
            </w:r>
          </w:p>
        </w:tc>
        <w:tc>
          <w:tcPr>
            <w:tcW w:type="dxa" w:w="172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GC</w:t>
            </w:r>
          </w:p>
        </w:tc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Sign-off register</w:t>
            </w:r>
          </w:p>
        </w:tc>
        <w:tc>
          <w:tcPr>
            <w:tcW w:type="dxa" w:w="115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9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First 12 accredited family mediators certified, incl. child-specialist and DV-aware neutrals</w:t>
            </w:r>
          </w:p>
        </w:tc>
        <w:tc>
          <w:tcPr>
            <w:tcW w:type="dxa" w:w="17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Head of Panel</w:t>
            </w:r>
          </w:p>
        </w:tc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Certificates; disclosures</w:t>
            </w:r>
          </w:p>
        </w:tc>
        <w:tc>
          <w:tcPr>
            <w:tcW w:type="dxa" w:w="115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10</w:t>
            </w:r>
          </w:p>
        </w:tc>
        <w:tc>
          <w:tcPr>
            <w:tcW w:type="dxa" w:w="604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Vulnerability &amp; capacity assessment protocol embedded at intake</w:t>
            </w:r>
          </w:p>
        </w:tc>
        <w:tc>
          <w:tcPr>
            <w:tcW w:type="dxa" w:w="172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Head of Ops</w:t>
            </w:r>
          </w:p>
        </w:tc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SOP</w:t>
            </w:r>
          </w:p>
        </w:tc>
        <w:tc>
          <w:tcPr>
            <w:tcW w:type="dxa" w:w="115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11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DPDP consent incl. children's data (verifiable parental consent) recorded</w:t>
            </w:r>
          </w:p>
        </w:tc>
        <w:tc>
          <w:tcPr>
            <w:tcW w:type="dxa" w:w="17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DPO</w:t>
            </w:r>
          </w:p>
        </w:tc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F-01</w:t>
            </w:r>
          </w:p>
        </w:tc>
        <w:tc>
          <w:tcPr>
            <w:tcW w:type="dxa" w:w="115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12</w:t>
            </w:r>
          </w:p>
        </w:tc>
        <w:tc>
          <w:tcPr>
            <w:tcW w:type="dxa" w:w="604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Court-referral MoU executed with at least one Family Court / Mediation Centre</w:t>
            </w:r>
          </w:p>
        </w:tc>
        <w:tc>
          <w:tcPr>
            <w:tcW w:type="dxa" w:w="172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GC</w:t>
            </w:r>
          </w:p>
        </w:tc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Executed MoU</w:t>
            </w:r>
          </w:p>
        </w:tc>
        <w:tc>
          <w:tcPr>
            <w:tcW w:type="dxa" w:w="115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13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e-Sign and e-Stamp integrations tested end to end</w:t>
            </w:r>
          </w:p>
        </w:tc>
        <w:tc>
          <w:tcPr>
            <w:tcW w:type="dxa" w:w="17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CTO</w:t>
            </w:r>
          </w:p>
        </w:tc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Test evidence</w:t>
            </w:r>
          </w:p>
        </w:tc>
        <w:tc>
          <w:tcPr>
            <w:tcW w:type="dxa" w:w="115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</w:t>
            </w:r>
          </w:p>
        </w:tc>
      </w:tr>
      <w:tr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14</w:t>
            </w:r>
          </w:p>
        </w:tc>
        <w:tc>
          <w:tcPr>
            <w:tcW w:type="dxa" w:w="604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Vernacular content live (leaflet, website, bilingual explorer)</w:t>
            </w:r>
          </w:p>
        </w:tc>
        <w:tc>
          <w:tcPr>
            <w:tcW w:type="dxa" w:w="172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Marketing</w:t>
            </w:r>
          </w:p>
        </w:tc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Live URLs</w:t>
            </w:r>
          </w:p>
        </w:tc>
        <w:tc>
          <w:tcPr>
            <w:tcW w:type="dxa" w:w="115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15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Complaints-against-Equator process published</w:t>
            </w:r>
          </w:p>
        </w:tc>
        <w:tc>
          <w:tcPr>
            <w:tcW w:type="dxa" w:w="17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GC</w:t>
            </w:r>
          </w:p>
        </w:tc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Website</w:t>
            </w:r>
          </w:p>
        </w:tc>
        <w:tc>
          <w:tcPr>
            <w:tcW w:type="dxa" w:w="115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16</w:t>
            </w:r>
          </w:p>
        </w:tc>
        <w:tc>
          <w:tcPr>
            <w:tcW w:type="dxa" w:w="604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Incident-response rehearsed for the two critical scenarios (safety disclosure; child at risk)</w:t>
            </w:r>
          </w:p>
        </w:tc>
        <w:tc>
          <w:tcPr>
            <w:tcW w:type="dxa" w:w="172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Head of Ops</w:t>
            </w:r>
          </w:p>
        </w:tc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Rehearsal record</w:t>
            </w:r>
          </w:p>
        </w:tc>
        <w:tc>
          <w:tcPr>
            <w:tcW w:type="dxa" w:w="115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17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Mandatory-reporting pathway confirmed (child abuse / imminent harm → authorities)</w:t>
            </w:r>
          </w:p>
        </w:tc>
        <w:tc>
          <w:tcPr>
            <w:tcW w:type="dxa" w:w="17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GC / Head of Ops</w:t>
            </w:r>
          </w:p>
        </w:tc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Protocol; legal advice</w:t>
            </w:r>
          </w:p>
        </w:tc>
        <w:tc>
          <w:tcPr>
            <w:tcW w:type="dxa" w:w="115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18</w:t>
            </w:r>
          </w:p>
        </w:tc>
        <w:tc>
          <w:tcPr>
            <w:tcW w:type="dxa" w:w="604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[verify] register reviewed; every open item owned</w:t>
            </w:r>
          </w:p>
        </w:tc>
        <w:tc>
          <w:tcPr>
            <w:tcW w:type="dxa" w:w="172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GC</w:t>
            </w:r>
          </w:p>
        </w:tc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Register</w:t>
            </w:r>
          </w:p>
        </w:tc>
        <w:tc>
          <w:tcPr>
            <w:tcW w:type="dxa" w:w="115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Empanelment rubric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Scored out of 100. A candidate must score at least 65 overall </w:t>
      </w:r>
      <w:r>
        <w:rPr>
          <w:rFonts w:ascii="Calibri" w:hAnsi="Calibri"/>
          <w:b/>
          <w:i w:val="0"/>
          <w:color w:val="1B2A32"/>
          <w:sz w:val="21"/>
        </w:rPr>
        <w:t>and</w:t>
      </w:r>
      <w:r>
        <w:rPr>
          <w:rFonts w:ascii="Calibri" w:hAnsi="Calibri"/>
          <w:b w:val="0"/>
          <w:i w:val="0"/>
          <w:color w:val="1B2A32"/>
          <w:sz w:val="21"/>
        </w:rPr>
        <w:t xml:space="preserve"> at least 15 of 20 on safety-and-safeguarding, which cannot be compensated by other criteria.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432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1152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Max</w:t>
            </w:r>
          </w:p>
        </w:tc>
        <w:tc>
          <w:tcPr>
            <w:tcW w:type="dxa" w:w="892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earns the marks</w:t>
            </w:r>
          </w:p>
        </w:tc>
      </w:tr>
      <w:tr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Family-mediation training &amp; accreditation</w:t>
            </w:r>
          </w:p>
        </w:tc>
        <w:tc>
          <w:tcPr>
            <w:tcW w:type="dxa" w:w="115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25</w:t>
            </w:r>
          </w:p>
        </w:tc>
        <w:tc>
          <w:tcPr>
            <w:tcW w:type="dxa" w:w="89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Recognised family-mediation training; observed role-play; prior settlement record</w:t>
            </w:r>
          </w:p>
        </w:tc>
      </w:tr>
      <w:tr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Safety &amp; safeguarding</w:t>
            </w:r>
          </w:p>
        </w:tc>
        <w:tc>
          <w:tcPr>
            <w:tcW w:type="dxa" w:w="115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20</w:t>
            </w:r>
          </w:p>
        </w:tc>
        <w:tc>
          <w:tcPr>
            <w:tcW w:type="dxa" w:w="892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Demonstrated competence in DV / coercive-control screening, power imbalance, and the paramountcy of the child. </w:t>
            </w:r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Minimum 15 — no compensation from other criteria</w:t>
            </w:r>
          </w:p>
        </w:tc>
      </w:tr>
      <w:tr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Domain knowledge</w:t>
            </w:r>
          </w:p>
        </w:tc>
        <w:tc>
          <w:tcPr>
            <w:tcW w:type="dxa" w:w="115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15</w:t>
            </w:r>
          </w:p>
        </w:tc>
        <w:tc>
          <w:tcPr>
            <w:tcW w:type="dxa" w:w="89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HMA/SMA/personal-law regimes, maintenance, custody &amp; guardianship, matrimonial property &amp; stridhan, DV Act interface</w:t>
            </w:r>
          </w:p>
        </w:tc>
      </w:tr>
      <w:tr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Child-inclusive practice</w:t>
            </w:r>
          </w:p>
        </w:tc>
        <w:tc>
          <w:tcPr>
            <w:tcW w:type="dxa" w:w="115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15</w:t>
            </w:r>
          </w:p>
        </w:tc>
        <w:tc>
          <w:tcPr>
            <w:tcW w:type="dxa" w:w="892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Training in voice-of-the-child and child-specialist consultation, or a co-mediation model with one</w:t>
            </w:r>
          </w:p>
        </w:tc>
      </w:tr>
      <w:tr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Balance &amp; impartiality</w:t>
            </w:r>
          </w:p>
        </w:tc>
        <w:tc>
          <w:tcPr>
            <w:tcW w:type="dxa" w:w="115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10</w:t>
            </w:r>
          </w:p>
        </w:tc>
        <w:tc>
          <w:tcPr>
            <w:tcW w:type="dxa" w:w="89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 pattern of acting for one gender/side; evidence of even-handedness</w:t>
            </w:r>
          </w:p>
        </w:tc>
      </w:tr>
      <w:tr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Language &amp; reach</w:t>
            </w:r>
          </w:p>
        </w:tc>
        <w:tc>
          <w:tcPr>
            <w:tcW w:type="dxa" w:w="115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10</w:t>
            </w:r>
          </w:p>
        </w:tc>
        <w:tc>
          <w:tcPr>
            <w:tcW w:type="dxa" w:w="892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Regional languages; availability outside metros; online capability</w:t>
            </w:r>
          </w:p>
        </w:tc>
      </w:tr>
      <w:tr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Availability &amp; reliability</w:t>
            </w:r>
          </w:p>
        </w:tc>
        <w:tc>
          <w:tcPr>
            <w:tcW w:type="dxa" w:w="115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5</w:t>
            </w:r>
          </w:p>
        </w:tc>
        <w:tc>
          <w:tcPr>
            <w:tcW w:type="dxa" w:w="89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Response time; completed CPD; no adjournment history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PANEL COMPOSITION TARGET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Accredited family mediators 40% · lawyers with matrimonial practice 20% · mental-health / counselling professionals 15% · child-welfare specialists 15% · retired Family Court judges / senior mediators 10%.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Gender balance is a standing requirement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, and a woman neutral must be available on request in every matter. The safety-and-safeguarding quota is not optional and must be filled before launch.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Mediator &amp; referral business development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2.1  The referral sources, in order of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74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489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Why they refer</w:t>
            </w:r>
          </w:p>
        </w:tc>
        <w:tc>
          <w:tcPr>
            <w:tcW w:type="dxa" w:w="576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The offer</w:t>
            </w:r>
          </w:p>
        </w:tc>
      </w:tr>
      <w:tr>
        <w:tc>
          <w:tcPr>
            <w:tcW w:type="dxa" w:w="37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Family Courts &amp; court-annexed mediation centres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Docket pressure; the Mediation Act, 2023 encourages pre-litigation mediation</w:t>
            </w:r>
          </w:p>
        </w:tc>
        <w:tc>
          <w:tcPr>
            <w:tcW w:type="dxa" w:w="57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 reliable, safe, decree-grade referral partner with reporting</w:t>
            </w:r>
          </w:p>
        </w:tc>
      </w:tr>
      <w:tr>
        <w:tc>
          <w:tcPr>
            <w:tcW w:type="dxa" w:w="374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Legal-aid bodies &amp; DLSAs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Access-to-justice mandate</w:t>
            </w:r>
          </w:p>
        </w:tc>
        <w:tc>
          <w:tcPr>
            <w:tcW w:type="dxa" w:w="57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Free/subsidised mediation with waivers</w:t>
            </w:r>
          </w:p>
        </w:tc>
      </w:tr>
      <w:tr>
        <w:tc>
          <w:tcPr>
            <w:tcW w:type="dxa" w:w="37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Matrimonial lawyers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 faster, cheaper route for clients who want to settle</w:t>
            </w:r>
          </w:p>
        </w:tc>
        <w:tc>
          <w:tcPr>
            <w:tcW w:type="dxa" w:w="57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Preserves the lawyer's advisory role; parties may bring counsel</w:t>
            </w:r>
          </w:p>
        </w:tc>
      </w:tr>
      <w:tr>
        <w:tc>
          <w:tcPr>
            <w:tcW w:type="dxa" w:w="374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Counsellors, hospitals, NGOs (DV)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 safe pathway that is not a police complaint</w:t>
            </w:r>
          </w:p>
        </w:tc>
        <w:tc>
          <w:tcPr>
            <w:tcW w:type="dxa" w:w="57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Screening-first, safety-led mediation</w:t>
            </w:r>
          </w:p>
        </w:tc>
      </w:tr>
      <w:tr>
        <w:tc>
          <w:tcPr>
            <w:tcW w:type="dxa" w:w="37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Corporate HR &amp; EAPs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Employees in family crisis</w:t>
            </w:r>
          </w:p>
        </w:tc>
        <w:tc>
          <w:tcPr>
            <w:tcW w:type="dxa" w:w="57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Confidential external referral</w:t>
            </w:r>
          </w:p>
        </w:tc>
      </w:tr>
      <w:tr>
        <w:tc>
          <w:tcPr>
            <w:tcW w:type="dxa" w:w="374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Registrars of marriage / community bodies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First point of contact at breakdown</w:t>
            </w:r>
          </w:p>
        </w:tc>
        <w:tc>
          <w:tcPr>
            <w:tcW w:type="dxa" w:w="57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Early, low-conflict resolution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THE LINE WE HOLD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We do not pay for referrals in a way that compromises neutrality, we do not promise a party a particular outcome, and we never let a settlement bargain away a child's welfare or a statutory maintenance entitlement. Safety is engineered, not promised: where screening flags risk, there is no joint session.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Panel MoU — heads of terms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Appointment</w:t>
      </w:r>
      <w:r>
        <w:rPr>
          <w:rFonts w:ascii="Calibri" w:hAnsi="Calibri"/>
          <w:b w:val="0"/>
          <w:i w:val="0"/>
          <w:color w:val="1B2A32"/>
          <w:sz w:val="21"/>
        </w:rPr>
        <w:t>: from the Equator family panel, by the Registrar, with rotation; a woman neutral available on request; never selected by one party alone.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Disclosure</w:t>
      </w:r>
      <w:r>
        <w:rPr>
          <w:rFonts w:ascii="Calibri" w:hAnsi="Calibri"/>
          <w:b w:val="0"/>
          <w:i w:val="0"/>
          <w:color w:val="1B2A32"/>
          <w:sz w:val="21"/>
        </w:rPr>
        <w:t>: conflicts and relationships disclosed before every appointment; continuing duty.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Safety</w:t>
      </w:r>
      <w:r>
        <w:rPr>
          <w:rFonts w:ascii="Calibri" w:hAnsi="Calibri"/>
          <w:b w:val="0"/>
          <w:i w:val="0"/>
          <w:color w:val="1B2A32"/>
          <w:sz w:val="21"/>
        </w:rPr>
        <w:t>: bound to the screening protocol; a flagged matter is not convened jointly.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Child welfare</w:t>
      </w:r>
      <w:r>
        <w:rPr>
          <w:rFonts w:ascii="Calibri" w:hAnsi="Calibri"/>
          <w:b w:val="0"/>
          <w:i w:val="0"/>
          <w:color w:val="1B2A32"/>
          <w:sz w:val="21"/>
        </w:rPr>
        <w:t>: paramountcy acknowledged; no child in a session without a trained professional.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Conduct</w:t>
      </w:r>
      <w:r>
        <w:rPr>
          <w:rFonts w:ascii="Calibri" w:hAnsi="Calibri"/>
          <w:b w:val="0"/>
          <w:i w:val="0"/>
          <w:color w:val="1B2A32"/>
          <w:sz w:val="21"/>
        </w:rPr>
        <w:t>: bound by the Rules and the Neutral Code; no advice; no prediction of a court outcome.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Confidentiality</w:t>
      </w:r>
      <w:r>
        <w:rPr>
          <w:rFonts w:ascii="Calibri" w:hAnsi="Calibri"/>
          <w:b w:val="0"/>
          <w:i w:val="0"/>
          <w:color w:val="1B2A32"/>
          <w:sz w:val="21"/>
        </w:rPr>
        <w:t>: absolute, including after the matter; caucus material never disclosed without permission; no acting for either party in a related matter.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Data</w:t>
      </w:r>
      <w:r>
        <w:rPr>
          <w:rFonts w:ascii="Calibri" w:hAnsi="Calibri"/>
          <w:b w:val="0"/>
          <w:i w:val="0"/>
          <w:color w:val="1B2A32"/>
          <w:sz w:val="21"/>
        </w:rPr>
        <w:t>: children's and sensitive data handled per Equator's schedule; nothing retained personally.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Mandatory reporting</w:t>
      </w:r>
      <w:r>
        <w:rPr>
          <w:rFonts w:ascii="Calibri" w:hAnsi="Calibri"/>
          <w:b w:val="0"/>
          <w:i w:val="0"/>
          <w:color w:val="1B2A32"/>
          <w:sz w:val="21"/>
        </w:rPr>
        <w:t>: where a child is at risk or harm is imminent, confidentiality yields to the reporting pathway.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Insurance</w:t>
      </w:r>
      <w:r>
        <w:rPr>
          <w:rFonts w:ascii="Calibri" w:hAnsi="Calibri"/>
          <w:b w:val="0"/>
          <w:i w:val="0"/>
          <w:color w:val="1B2A32"/>
          <w:sz w:val="21"/>
        </w:rPr>
        <w:t>: current professional indemnity cover, evidenced annually.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Termination</w:t>
      </w:r>
      <w:r>
        <w:rPr>
          <w:rFonts w:ascii="Calibri" w:hAnsi="Calibri"/>
          <w:b w:val="0"/>
          <w:i w:val="0"/>
          <w:color w:val="1B2A32"/>
          <w:sz w:val="21"/>
        </w:rPr>
        <w:t>: by either party on notice; immediately by Equator for a safeguarding or independence failure.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Regulatory note — the Mediation Council of India path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Equator Resolution operates as a </w:t>
      </w:r>
      <w:r>
        <w:rPr>
          <w:rFonts w:ascii="Calibri" w:hAnsi="Calibri"/>
          <w:b/>
          <w:i w:val="0"/>
          <w:color w:val="1B2A32"/>
          <w:sz w:val="21"/>
        </w:rPr>
        <w:t>private institutional mediation service provider</w:t>
      </w:r>
      <w:r>
        <w:rPr>
          <w:rFonts w:ascii="Calibri" w:hAnsi="Calibri"/>
          <w:b w:val="0"/>
          <w:i w:val="0"/>
          <w:color w:val="1B2A32"/>
          <w:sz w:val="21"/>
        </w:rPr>
        <w:t xml:space="preserve">. The Mediation Act, 2023 establishes the </w:t>
      </w:r>
      <w:r>
        <w:rPr>
          <w:rFonts w:ascii="Calibri" w:hAnsi="Calibri"/>
          <w:b/>
          <w:i w:val="0"/>
          <w:color w:val="1B2A32"/>
          <w:sz w:val="21"/>
        </w:rPr>
        <w:t>Mediation Council of India (MCI)</w:t>
      </w:r>
      <w:r>
        <w:rPr>
          <w:rFonts w:ascii="Calibri" w:hAnsi="Calibri"/>
          <w:b w:val="0"/>
          <w:i w:val="0"/>
          <w:color w:val="1B2A32"/>
          <w:sz w:val="21"/>
        </w:rPr>
        <w:t xml:space="preserve"> and a regime for the recognition of mediation service providers and the registration of mediated settlements. Three points for the Board: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Recognition path.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vertical is designed to the Act's standard for a mediation service provider (panel, rules, ethics, confidentiality, registration of settlements). The MCI's regulations are still being operationalised, so the recognition application must be re-confirmed against the final regulations at the go-live date. </w:t>
      </w:r>
      <w:r>
        <w:rPr>
          <w:rFonts w:ascii="Calibri" w:hAnsi="Calibri"/>
          <w:b/>
          <w:i w:val="0"/>
          <w:color w:val="1B2A32"/>
          <w:sz w:val="21"/>
        </w:rPr>
        <w:t>[verify — MCI operationalisation and recognition requirements.]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Enforceability.</w:t>
      </w:r>
      <w:r>
        <w:rPr>
          <w:rFonts w:ascii="Calibri" w:hAnsi="Calibri"/>
          <w:b w:val="0"/>
          <w:i w:val="0"/>
          <w:color w:val="1B2A32"/>
          <w:sz w:val="21"/>
        </w:rPr>
        <w:t xml:space="preserve"> A mediated settlement, once signed and registered under section 27, is enforceable as a decree of court. The registration workflow must be live before launch.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Pre-litigation mediation.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Act encourages pre-litigation mediation; the court-referral MoU and the Family Court interface are designed to receive both referred and voluntary matters.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STANDING BOARD INSTRUCTION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If a proposed arrangement, product or marketing message would require the safety-screening control, the child-welfare paramountcy, or the non-waiver of statutory maintenance to be relaxed, it is refused at officer level and reported to the Board.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Family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E8770D-BB32-445C-8CD1-FF6D8F76DD29}"/>
</file>

<file path=customXml/itemProps3.xml><?xml version="1.0" encoding="utf-8"?>
<ds:datastoreItem xmlns:ds="http://schemas.openxmlformats.org/officeDocument/2006/customXml" ds:itemID="{9D55FB8C-6A5E-4EE2-A9FA-2DF2EAD8C31B}"/>
</file>

<file path=customXml/itemProps4.xml><?xml version="1.0" encoding="utf-8"?>
<ds:datastoreItem xmlns:ds="http://schemas.openxmlformats.org/officeDocument/2006/customXml" ds:itemID="{B5891648-B4E3-4BFC-8F76-C27FABBAD1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