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23B4F"/>
          <w:sz w:val="34"/>
        </w:rPr>
        <w:t>EQUATOR RESOLUTION</w:t>
      </w:r>
    </w:p>
    <w:p>
      <w:pPr>
        <w:spacing w:after="60"/>
        <w:jc w:val="center"/>
      </w:pPr>
      <w:r>
        <w:rPr>
          <w:rFonts w:ascii="Calibri" w:hAnsi="Calibri"/>
          <w:b w:val="0"/>
          <w:i/>
          <w:color w:val="1E7A8C"/>
          <w:sz w:val="21"/>
        </w:rPr>
        <w:t>Institutional Family Mediation</w:t>
      </w:r>
    </w:p>
    <w:p>
      <w:pPr>
        <w:pBdr>
          <w:top w:val="single" w:sz="14" w:space="6" w:color="C6A15B"/>
          <w:bottom w:val="single" w:sz="14" w:space="6" w:color="C6A15B"/>
        </w:pBdr>
      </w:pPr>
    </w:p>
    <w:p>
      <w:pPr>
        <w:spacing w:before="600"/>
        <w:jc w:val="center"/>
      </w:pPr>
      <w:r>
        <w:rPr>
          <w:rFonts w:ascii="Calibri" w:hAnsi="Calibri"/>
          <w:b/>
          <w:i w:val="0"/>
          <w:color w:val="123B4F"/>
          <w:sz w:val="48"/>
        </w:rPr>
        <w:t>Mediator Training Curriculum &amp; Certification</w:t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25"/>
        </w:rPr>
        <w:t>The Equator Certified Family Mediator (ECFM) programme — syllabus, assessment and CPD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E7A8C"/>
          <w:sz w:val="22"/>
        </w:rPr>
        <w:t>Family &amp; Marital Dispute Resolution vertical</w:t>
      </w:r>
    </w:p>
    <w:p>
      <w:pPr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July 2026  ·  Draft for legal sign-off  ·  www.equatorresolution.com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Purpose &amp; standard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The </w:t>
      </w:r>
      <w:r>
        <w:rPr>
          <w:rFonts w:ascii="Calibri" w:hAnsi="Calibri"/>
          <w:b/>
          <w:i w:val="0"/>
          <w:color w:val="1B2A32"/>
          <w:sz w:val="21"/>
        </w:rPr>
        <w:t>Equator Certified Family Mediator (ECFM)</w:t>
      </w:r>
      <w:r>
        <w:rPr>
          <w:rFonts w:ascii="Calibri" w:hAnsi="Calibri"/>
          <w:b w:val="0"/>
          <w:i w:val="0"/>
          <w:color w:val="1B2A32"/>
          <w:sz w:val="21"/>
        </w:rPr>
        <w:t xml:space="preserve"> programme trains and certifies mediators to conduct family mediations to a consistent, safe and defensible standard. It is designed to sit alongside — not replace — any training or certification the </w:t>
      </w:r>
      <w:r>
        <w:rPr>
          <w:rFonts w:ascii="Calibri" w:hAnsi="Calibri"/>
          <w:b/>
          <w:i w:val="0"/>
          <w:color w:val="1B2A32"/>
          <w:sz w:val="21"/>
        </w:rPr>
        <w:t>Mediation Council of India</w:t>
      </w:r>
      <w:r>
        <w:rPr>
          <w:rFonts w:ascii="Calibri" w:hAnsi="Calibri"/>
          <w:b w:val="0"/>
          <w:i w:val="0"/>
          <w:color w:val="1B2A32"/>
          <w:sz w:val="21"/>
        </w:rPr>
        <w:t xml:space="preserve"> prescribes under the Mediation Act, 2023, and will be mapped to those requirements once notified.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5ECD6"/>
            <w:tcBorders>
              <w:start w:val="single" w:sz="22" w:space="0" w:color="C6A15B"/>
            </w:tcBorders>
          </w:tcPr>
          <w:p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What makes this programme different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Family mediation is not commercial mediation with softer language. The programme is built around three things a commercial course does not teach: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recognising abuse and coercive control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,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keeping a child's welfare central without making the child responsible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, and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holding voluntariness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 when one party is frightened, exhausted or financially dependent.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1.  Structure &amp; hours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345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Stage</w:t>
            </w:r>
          </w:p>
        </w:tc>
        <w:tc>
          <w:tcPr>
            <w:tcW w:type="dxa" w:w="216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Hours</w:t>
            </w:r>
          </w:p>
        </w:tc>
        <w:tc>
          <w:tcPr>
            <w:tcW w:type="dxa" w:w="230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Mode</w:t>
            </w:r>
          </w:p>
        </w:tc>
        <w:tc>
          <w:tcPr>
            <w:tcW w:type="dxa" w:w="230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Outcome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Foundation (Modules 1–4)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24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Live online / in-person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Grounding in law, process and ethics</w:t>
            </w:r>
          </w:p>
        </w:tc>
      </w:tr>
      <w:tr>
        <w:tc>
          <w:tcPr>
            <w:tcW w:type="dxa" w:w="34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Core skills (Modules 5–8)</w:t>
            </w:r>
          </w:p>
        </w:tc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32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Workshop with role-play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Practical mediation competence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Safety &amp; child specialism (Modules 9–11)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24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Workshop + case simulation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Screening, DV, child focus</w:t>
            </w:r>
          </w:p>
        </w:tc>
      </w:tr>
      <w:tr>
        <w:tc>
          <w:tcPr>
            <w:tcW w:type="dxa" w:w="34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Platform &amp; practice (Module 12)</w:t>
            </w:r>
          </w:p>
        </w:tc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8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Online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Rules, forms, platform, documentation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Assessment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8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Observed simulation + written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Certification decision</w:t>
            </w:r>
          </w:p>
        </w:tc>
      </w:tr>
      <w:tr>
        <w:tc>
          <w:tcPr>
            <w:tcW w:type="dxa" w:w="34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Supervised practice</w:t>
            </w:r>
          </w:p>
        </w:tc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4 co-mediated matters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Live, supervised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Confirmation of grade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Total to certification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96 hours + supervised practice</w:t>
            </w:r>
          </w:p>
        </w:tc>
        <w:tc>
          <w:tcPr>
            <w:tcW w:type="dxa" w:w="2304"/>
          </w:tcPr>
          <w:p>
            <w:r/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ECFM certificate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2.  Syllabus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2.1  Part 1 — Foundation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Module 1 · The legal framework.</w:t>
      </w:r>
      <w:r>
        <w:rPr>
          <w:rFonts w:ascii="Calibri" w:hAnsi="Calibri"/>
          <w:b w:val="0"/>
          <w:i w:val="0"/>
          <w:color w:val="1B2A32"/>
          <w:sz w:val="21"/>
        </w:rPr>
        <w:t xml:space="preserve"> Mediation Act, 2023 (ss.20, 22, 27); Family Courts Act, 1984; s.89 CPC referrals; where mediation fits and where it does not.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Module 2 · Personal law across regimes.</w:t>
      </w:r>
      <w:r>
        <w:rPr>
          <w:rFonts w:ascii="Calibri" w:hAnsi="Calibri"/>
          <w:b w:val="0"/>
          <w:i w:val="0"/>
          <w:color w:val="1B2A32"/>
          <w:sz w:val="21"/>
        </w:rPr>
        <w:t xml:space="preserve"> Hindu, Special Marriage, Muslim, Christian and Parsi law; inter-faith and NRI matters; what differs on divorce, maintenance, custody and property — and how to stay even-handed across regimes.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Module 3 · Rights and remedies.</w:t>
      </w:r>
      <w:r>
        <w:rPr>
          <w:rFonts w:ascii="Calibri" w:hAnsi="Calibri"/>
          <w:b w:val="0"/>
          <w:i w:val="0"/>
          <w:color w:val="1B2A32"/>
          <w:sz w:val="21"/>
        </w:rPr>
        <w:t xml:space="preserve"> Maintenance principles; custody and guardianship; matrimonial property and *stridhan*; PWDVA 2005 remedies; the criminal overlay (BNS/BNSS) and its limits in mediation.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Module 4 · Ethics and the mediator's role.</w:t>
      </w:r>
      <w:r>
        <w:rPr>
          <w:rFonts w:ascii="Calibri" w:hAnsi="Calibri"/>
          <w:b w:val="0"/>
          <w:i w:val="0"/>
          <w:color w:val="1B2A32"/>
          <w:sz w:val="21"/>
        </w:rPr>
        <w:t xml:space="preserve"> Impartiality, voluntariness, the no-advice line, conflicts and disclosure, confidentiality and its exceptions.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2.2  Part 2 — Core skills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Module 5 · Process design.</w:t>
      </w:r>
      <w:r>
        <w:rPr>
          <w:rFonts w:ascii="Calibri" w:hAnsi="Calibri"/>
          <w:b w:val="0"/>
          <w:i w:val="0"/>
          <w:color w:val="1B2A32"/>
          <w:sz w:val="21"/>
        </w:rPr>
        <w:t xml:space="preserve"> Convening, opening statements, agenda-setting, joint vs caucus vs shuttle, pacing and closure.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Module 6 · Communication.</w:t>
      </w:r>
      <w:r>
        <w:rPr>
          <w:rFonts w:ascii="Calibri" w:hAnsi="Calibri"/>
          <w:b w:val="0"/>
          <w:i w:val="0"/>
          <w:color w:val="1B2A32"/>
          <w:sz w:val="21"/>
        </w:rPr>
        <w:t xml:space="preserve"> Active listening, reframing, managing high emotion, de-escalation, working with silence and with anger.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Module 7 · Interests and options.</w:t>
      </w:r>
      <w:r>
        <w:rPr>
          <w:rFonts w:ascii="Calibri" w:hAnsi="Calibri"/>
          <w:b w:val="0"/>
          <w:i w:val="0"/>
          <w:color w:val="1B2A32"/>
          <w:sz w:val="21"/>
        </w:rPr>
        <w:t xml:space="preserve"> Moving from positions to interests; option generation; reality-testing against the alternative; managing impasse.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Module 8 · Financial literacy for mediators.</w:t>
      </w:r>
      <w:r>
        <w:rPr>
          <w:rFonts w:ascii="Calibri" w:hAnsi="Calibri"/>
          <w:b w:val="0"/>
          <w:i w:val="0"/>
          <w:color w:val="1B2A32"/>
          <w:sz w:val="21"/>
        </w:rPr>
        <w:t xml:space="preserve"> Reading payslips and bank statements; income and asset disclosure; maintenance computation; pensions and property; when to insist on independent advice.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2.3  Part 3 — Safety &amp; child specialism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Module 9 · Screening and domestic abuse.</w:t>
      </w:r>
      <w:r>
        <w:rPr>
          <w:rFonts w:ascii="Calibri" w:hAnsi="Calibri"/>
          <w:b w:val="0"/>
          <w:i w:val="0"/>
          <w:color w:val="1B2A32"/>
          <w:sz w:val="21"/>
        </w:rPr>
        <w:t xml:space="preserve"> Conducting confidential screening; recognising physical, sexual, emotional, financial abuse and coercive control; the safety flag; shuttle and safeguards; when to decline; signposting protection remedies and support.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Module 10 · Power imbalance and capacity.</w:t>
      </w:r>
      <w:r>
        <w:rPr>
          <w:rFonts w:ascii="Calibri" w:hAnsi="Calibri"/>
          <w:b w:val="0"/>
          <w:i w:val="0"/>
          <w:color w:val="1B2A32"/>
          <w:sz w:val="21"/>
        </w:rPr>
        <w:t xml:space="preserve"> Financial dependence, immigration status, literacy, disability, mental health; techniques that restore balance without becoming an advocate; assessing capacity to consent.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Module 11 · Children.</w:t>
      </w:r>
      <w:r>
        <w:rPr>
          <w:rFonts w:ascii="Calibri" w:hAnsi="Calibri"/>
          <w:b w:val="0"/>
          <w:i w:val="0"/>
          <w:color w:val="1B2A32"/>
          <w:sz w:val="21"/>
        </w:rPr>
        <w:t xml:space="preserve"> The welfare principle; developmental needs by age; parenting plans; avoiding the child as messenger or bargaining counter; </w:t>
      </w:r>
      <w:r>
        <w:rPr>
          <w:rFonts w:ascii="Calibri" w:hAnsi="Calibri"/>
          <w:b/>
          <w:i w:val="0"/>
          <w:color w:val="1B2A32"/>
          <w:sz w:val="21"/>
        </w:rPr>
        <w:t>child-inclusive mediation</w:t>
      </w:r>
      <w:r>
        <w:rPr>
          <w:rFonts w:ascii="Calibri" w:hAnsi="Calibri"/>
          <w:b w:val="0"/>
          <w:i w:val="0"/>
          <w:color w:val="1B2A32"/>
          <w:sz w:val="21"/>
        </w:rPr>
        <w:t xml:space="preserve"> (separate specialist certification) and how a child's voice is conveyed.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2.4  Part 4 — Practice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Module 12 · Equator in practice.</w:t>
      </w:r>
      <w:r>
        <w:rPr>
          <w:rFonts w:ascii="Calibri" w:hAnsi="Calibri"/>
          <w:b w:val="0"/>
          <w:i w:val="0"/>
          <w:color w:val="1B2A32"/>
          <w:sz w:val="21"/>
        </w:rPr>
        <w:t xml:space="preserve"> The Rules of Mediation; forms F-01–F-29; the platform and case room; sealed caucus notes; drafting an MSA that holds; e-Sign, e-Stamp, registration and escrow; the AI assistant's limits; record-keeping and data protection.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3. 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74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Component</w:t>
            </w:r>
          </w:p>
        </w:tc>
        <w:tc>
          <w:tcPr>
            <w:tcW w:type="dxa" w:w="1728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Weight</w:t>
            </w:r>
          </w:p>
        </w:tc>
        <w:tc>
          <w:tcPr>
            <w:tcW w:type="dxa" w:w="432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Pass standard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Observed mediation simulation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40%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Demonstrates impartiality, structure and safety awareness; no critical error</w:t>
            </w:r>
          </w:p>
        </w:tc>
      </w:tr>
      <w:tr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Screening simulation (safety)</w:t>
            </w:r>
          </w:p>
        </w:tc>
        <w:tc>
          <w:tcPr>
            <w:tcW w:type="dxa" w:w="172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20%</w:t>
            </w:r>
          </w:p>
        </w:tc>
        <w:tc>
          <w:tcPr>
            <w:tcW w:type="dxa" w:w="4320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Must pass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 — correctly identifies risk and responds appropriately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Written paper (law &amp; ethics)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20%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60% overall; no fail in the ethics section</w:t>
            </w:r>
          </w:p>
        </w:tc>
      </w:tr>
      <w:tr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MSA drafting exercise</w:t>
            </w:r>
          </w:p>
        </w:tc>
        <w:tc>
          <w:tcPr>
            <w:tcW w:type="dxa" w:w="172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10%</w:t>
            </w:r>
          </w:p>
        </w:tc>
        <w:tc>
          <w:tcPr>
            <w:tcW w:type="dxa" w:w="43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Accurate, complete, enforceable, child-focused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Reflective practice log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10%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Evidence of insight and self-awareness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6E0E4"/>
            <w:tcBorders>
              <w:start w:val="single" w:sz="22" w:space="0" w:color="B23A48"/>
            </w:tcBorders>
          </w:tcPr>
          <w:p>
            <w:r>
              <w:rPr>
                <w:rFonts w:ascii="Calibri" w:hAnsi="Calibri"/>
                <w:b/>
                <w:i w:val="0"/>
                <w:color w:val="B23A48"/>
                <w:sz w:val="18"/>
              </w:rPr>
              <w:t>Non-negotiable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A candidate who fails the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screening/safety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 component does not certify, whatever the overall score. Missing abuse is the one error the programme will not pass.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4.  Certification, grading &amp; specialisms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Successful candidates are certified </w:t>
      </w:r>
      <w:r>
        <w:rPr>
          <w:rFonts w:ascii="Calibri" w:hAnsi="Calibri"/>
          <w:b/>
          <w:i w:val="0"/>
          <w:color w:val="1B2A32"/>
          <w:sz w:val="21"/>
        </w:rPr>
        <w:t>ECFM</w:t>
      </w:r>
      <w:r>
        <w:rPr>
          <w:rFonts w:ascii="Calibri" w:hAnsi="Calibri"/>
          <w:b w:val="0"/>
          <w:i w:val="0"/>
          <w:color w:val="1B2A32"/>
          <w:sz w:val="21"/>
        </w:rPr>
        <w:t xml:space="preserve"> and empanelled at the grade indicated by the Empanelment Bye-laws.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Endorsements: </w:t>
      </w:r>
      <w:r>
        <w:rPr>
          <w:rFonts w:ascii="Calibri" w:hAnsi="Calibri"/>
          <w:b/>
          <w:i w:val="0"/>
          <w:color w:val="1B2A32"/>
          <w:sz w:val="21"/>
        </w:rPr>
        <w:t>Domestic-abuse aware</w:t>
      </w:r>
      <w:r>
        <w:rPr>
          <w:rFonts w:ascii="Calibri" w:hAnsi="Calibri"/>
          <w:b w:val="0"/>
          <w:i w:val="0"/>
          <w:color w:val="1B2A32"/>
          <w:sz w:val="21"/>
        </w:rPr>
        <w:t xml:space="preserve"> (required for any matter with abuse indicators); </w:t>
      </w:r>
      <w:r>
        <w:rPr>
          <w:rFonts w:ascii="Calibri" w:hAnsi="Calibri"/>
          <w:b/>
          <w:i w:val="0"/>
          <w:color w:val="1B2A32"/>
          <w:sz w:val="21"/>
        </w:rPr>
        <w:t>Child-inclusive mediation</w:t>
      </w:r>
      <w:r>
        <w:rPr>
          <w:rFonts w:ascii="Calibri" w:hAnsi="Calibri"/>
          <w:b w:val="0"/>
          <w:i w:val="0"/>
          <w:color w:val="1B2A32"/>
          <w:sz w:val="21"/>
        </w:rPr>
        <w:t xml:space="preserve">; </w:t>
      </w:r>
      <w:r>
        <w:rPr>
          <w:rFonts w:ascii="Calibri" w:hAnsi="Calibri"/>
          <w:b/>
          <w:i w:val="0"/>
          <w:color w:val="1B2A32"/>
          <w:sz w:val="21"/>
        </w:rPr>
        <w:t>High-conflict</w:t>
      </w:r>
      <w:r>
        <w:rPr>
          <w:rFonts w:ascii="Calibri" w:hAnsi="Calibri"/>
          <w:b w:val="0"/>
          <w:i w:val="0"/>
          <w:color w:val="1B2A32"/>
          <w:sz w:val="21"/>
        </w:rPr>
        <w:t xml:space="preserve">; </w:t>
      </w:r>
      <w:r>
        <w:rPr>
          <w:rFonts w:ascii="Calibri" w:hAnsi="Calibri"/>
          <w:b/>
          <w:i w:val="0"/>
          <w:color w:val="1B2A32"/>
          <w:sz w:val="21"/>
        </w:rPr>
        <w:t>Court-referred practice</w:t>
      </w:r>
      <w:r>
        <w:rPr>
          <w:rFonts w:ascii="Calibri" w:hAnsi="Calibri"/>
          <w:b w:val="0"/>
          <w:i w:val="0"/>
          <w:color w:val="1B2A32"/>
          <w:sz w:val="21"/>
        </w:rPr>
        <w:t>; language endorsements.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Certification is valid for </w:t>
      </w:r>
      <w:r>
        <w:rPr>
          <w:rFonts w:ascii="Calibri" w:hAnsi="Calibri"/>
          <w:b/>
          <w:i w:val="0"/>
          <w:color w:val="1B2A32"/>
          <w:sz w:val="21"/>
        </w:rPr>
        <w:t>two years</w:t>
      </w:r>
      <w:r>
        <w:rPr>
          <w:rFonts w:ascii="Calibri" w:hAnsi="Calibri"/>
          <w:b w:val="0"/>
          <w:i w:val="0"/>
          <w:color w:val="1B2A32"/>
          <w:sz w:val="21"/>
        </w:rPr>
        <w:t xml:space="preserve"> and is subject to recertification.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5.  Continuing professional development (CPD)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74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Requirement</w:t>
            </w:r>
          </w:p>
        </w:tc>
        <w:tc>
          <w:tcPr>
            <w:tcW w:type="dxa" w:w="216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Annual minimum</w:t>
            </w:r>
          </w:p>
        </w:tc>
        <w:tc>
          <w:tcPr>
            <w:tcW w:type="dxa" w:w="360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Total CPD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20 hours</w:t>
            </w:r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— of which safeguarding / DV</w:t>
            </w:r>
          </w:p>
        </w:tc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6 hours</w:t>
            </w:r>
          </w:p>
        </w:tc>
        <w:tc>
          <w:tcPr>
            <w:tcW w:type="dxa" w:w="36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Mandatory; cannot be substituted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— of which child welfare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4 hours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Mandatory where holding a child endorsement</w:t>
            </w:r>
          </w:p>
        </w:tc>
      </w:tr>
      <w:tr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— of which law update</w:t>
            </w:r>
          </w:p>
        </w:tc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4 hours</w:t>
            </w:r>
          </w:p>
        </w:tc>
        <w:tc>
          <w:tcPr>
            <w:tcW w:type="dxa" w:w="36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Personal law, Mediation Act, procedure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Peer supervision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4 sessions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Group or one-to-one</w:t>
            </w:r>
          </w:p>
        </w:tc>
      </w:tr>
      <w:tr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Case audit participation</w:t>
            </w:r>
          </w:p>
        </w:tc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As requested</w:t>
            </w:r>
          </w:p>
        </w:tc>
        <w:tc>
          <w:tcPr>
            <w:tcW w:type="dxa" w:w="36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Quality assurance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CPD is recorded in the mediator's platform profile; shortfall triggers review under the Bye-laws and may suspend listing until remedied.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6.  Trainers, quality and accessibility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Trainers are senior practitioners with a domestic-abuse or child-welfare specialism, plus a lawyer for the law modules.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Every cohort is evaluated; candidate feedback and later outcome data feed back into the syllabus.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The programme is delivered bilingually where demand exists, with materials in plain language and reasonable adjustments available.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Scholarships are offered to widen the panel's diversity, including for practitioners from legal-aid and NGO backgrounds.</w:t>
      </w:r>
    </w:p>
    <w:p>
      <w:pPr>
        <w:spacing w:after="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This curriculum is a draft for adoption; map it to Mediation Council of India requirements once notified and have counsel review the legal modules. Not legal advice.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556168"/>
        <w:sz w:val="16"/>
      </w:rPr>
      <w:t xml:space="preserve">Equator Resolution · An Infrabyx Group venture · Confidential draft — not legal advice · Page </w:t>
    </w:r>
    <w:r>
      <w:rPr>
        <w:rFonts w:ascii="Calibri" w:hAnsi="Calibri"/>
        <w:color w:val="55616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— Family &amp; Marital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3B4B5-2C5B-4C19-A57E-CC1408DC1E30}"/>
</file>

<file path=customXml/itemProps3.xml><?xml version="1.0" encoding="utf-8"?>
<ds:datastoreItem xmlns:ds="http://schemas.openxmlformats.org/officeDocument/2006/customXml" ds:itemID="{E1E3FFE4-D6EA-4FC1-8313-D2CC2974F414}"/>
</file>

<file path=customXml/itemProps4.xml><?xml version="1.0" encoding="utf-8"?>
<ds:datastoreItem xmlns:ds="http://schemas.openxmlformats.org/officeDocument/2006/customXml" ds:itemID="{90FCB295-BDAB-4C5E-8D86-2160101D86F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