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Family Mediation</w:t>
      </w:r>
    </w:p>
    <w:p>
      <w:pPr>
        <w:pBdr>
          <w:top w:val="single" w:sz="14" w:space="6" w:color="C6A15B"/>
          <w:bottom w:val="single" w:sz="14" w:space="6" w:color="C6A15B"/>
        </w:pBdr>
      </w:pPr>
    </w:p>
    <w:p>
      <w:pPr>
        <w:spacing w:before="600"/>
        <w:jc w:val="center"/>
      </w:pPr>
      <w:r>
        <w:rPr>
          <w:rFonts w:ascii="Calibri" w:hAnsi="Calibri"/>
          <w:b/>
          <w:i w:val="0"/>
          <w:color w:val="123B4F"/>
          <w:sz w:val="48"/>
        </w:rPr>
        <w:t>Jurisdiction Annexes &amp; Clause Bank</w:t>
      </w:r>
    </w:p>
    <w:p>
      <w:pPr>
        <w:jc w:val="center"/>
      </w:pPr>
      <w:r>
        <w:rPr>
          <w:rFonts w:ascii="Calibri" w:hAnsi="Calibri"/>
          <w:b w:val="0"/>
          <w:i/>
          <w:color w:val="556168"/>
          <w:sz w:val="25"/>
        </w:rPr>
        <w:t>State-wise stamp duty and forum directories, and the expanded model clause library</w:t>
      </w:r>
    </w:p>
    <w:p/>
    <w:p/>
    <w:p/>
    <w:p/>
    <w:p/>
    <w:p/>
    <w:p/>
    <w:p/>
    <w:p>
      <w:pPr>
        <w:jc w:val="center"/>
      </w:pPr>
      <w:r>
        <w:rPr>
          <w:rFonts w:ascii="Calibri" w:hAnsi="Calibri"/>
          <w:b/>
          <w:i w:val="0"/>
          <w:color w:val="1E7A8C"/>
          <w:sz w:val="22"/>
        </w:rPr>
        <w:t>Family &amp; Marital Dispute Resolution vertical</w:t>
      </w:r>
    </w:p>
    <w:p>
      <w:pPr>
        <w:jc w:val="center"/>
      </w:pPr>
      <w:r>
        <w:rPr>
          <w:rFonts w:ascii="Calibri" w:hAnsi="Calibri"/>
          <w:b w:val="0"/>
          <w:i w:val="0"/>
          <w:color w:val="556168"/>
          <w:sz w:val="19"/>
        </w:rPr>
        <w:t>July 2026  ·  Draft for legal sign-off  ·  www.equatorresolution.com</w:t>
      </w:r>
    </w:p>
    <w:p>
      <w:r>
        <w:br w:type="page"/>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Verify before use</w:t>
            </w:r>
          </w:p>
          <w:p>
            <w:r>
              <w:rPr>
                <w:rFonts w:ascii="Calibri" w:hAnsi="Calibri"/>
                <w:b w:val="0"/>
                <w:i w:val="0"/>
                <w:color w:val="1B2A32"/>
                <w:sz w:val="19"/>
              </w:rPr>
              <w:t xml:space="preserve">Stamp duty, registration practice and court/DLSA particulars vary by State and change often. Every entry below is a </w:t>
            </w:r>
            <w:r>
              <w:rPr>
                <w:rFonts w:ascii="Calibri" w:hAnsi="Calibri"/>
                <w:b/>
                <w:i w:val="0"/>
                <w:color w:val="1B2A32"/>
                <w:sz w:val="19"/>
              </w:rPr>
              <w:t>template to be completed and verified locally</w:t>
            </w:r>
            <w:r>
              <w:rPr>
                <w:rFonts w:ascii="Calibri" w:hAnsi="Calibri"/>
                <w:b w:val="0"/>
                <w:i w:val="0"/>
                <w:color w:val="1B2A32"/>
                <w:sz w:val="19"/>
              </w:rPr>
              <w:t xml:space="preserve"> — the structure is provided; the current figures and addresses must be confirmed with the State's stamp authority, the High Court and the DLSA before use.</w:t>
            </w:r>
          </w:p>
        </w:tc>
      </w:tr>
    </w:tbl>
    <w:p>
      <w:pPr>
        <w:spacing w:after="40"/>
      </w:pPr>
    </w:p>
    <w:p>
      <w:pPr>
        <w:keepNext/>
        <w:spacing w:before="280" w:after="120"/>
        <w:pBdr>
          <w:bottom w:val="single" w:sz="12" w:space="3" w:color="C6A15B"/>
        </w:pBdr>
      </w:pPr>
      <w:r>
        <w:rPr>
          <w:rFonts w:ascii="Calibri" w:hAnsi="Calibri"/>
          <w:b/>
          <w:i w:val="0"/>
          <w:color w:val="123B4F"/>
          <w:sz w:val="32"/>
        </w:rPr>
        <w:t>Annexure 1 — Stamp duty on settlement instruments (template)</w:t>
      </w:r>
    </w:p>
    <w:p>
      <w:pPr>
        <w:spacing w:after="120"/>
        <w:jc w:val="both"/>
      </w:pPr>
      <w:r>
        <w:rPr>
          <w:rFonts w:ascii="Calibri" w:hAnsi="Calibri"/>
          <w:b w:val="0"/>
          <w:i w:val="0"/>
          <w:color w:val="1B2A32"/>
          <w:sz w:val="21"/>
        </w:rPr>
        <w:t>A mediated settlement may attract stamp duty depending on its content — in particular whether it transfers property, records a money obligation, or is merely a memorandum. Complete this table for each State in which you operate, with the article of the State Stamp Act relied on.</w:t>
      </w:r>
    </w:p>
    <w:tbl>
      <w:tblPr>
        <w:tblStyle w:val="TableGrid"/>
        <w:tblW w:type="auto" w:w="0"/>
        <w:jc w:val="center"/>
        <w:tblLook w:firstColumn="1" w:firstRow="1" w:lastColumn="0" w:lastRow="0" w:noHBand="0" w:noVBand="1" w:val="04A0"/>
      </w:tblPr>
      <w:tblGrid>
        <w:gridCol w:w="1584"/>
        <w:gridCol w:w="1584"/>
        <w:gridCol w:w="1584"/>
        <w:gridCol w:w="1584"/>
        <w:gridCol w:w="1584"/>
        <w:gridCol w:w="1584"/>
      </w:tblGrid>
      <w:tr>
        <w:tc>
          <w:tcPr>
            <w:tcW w:type="dxa" w:w="1872"/>
            <w:shd w:val="clear" w:fill="123B4F"/>
          </w:tcPr>
          <w:p>
            <w:r/>
            <w:r>
              <w:rPr>
                <w:rFonts w:ascii="Calibri" w:hAnsi="Calibri"/>
                <w:b/>
                <w:i w:val="0"/>
                <w:color w:val="FFFFFF"/>
                <w:sz w:val="15"/>
              </w:rPr>
              <w:t>State / UT</w:t>
            </w:r>
          </w:p>
        </w:tc>
        <w:tc>
          <w:tcPr>
            <w:tcW w:type="dxa" w:w="2160"/>
            <w:shd w:val="clear" w:fill="123B4F"/>
          </w:tcPr>
          <w:p>
            <w:r/>
            <w:r>
              <w:rPr>
                <w:rFonts w:ascii="Calibri" w:hAnsi="Calibri"/>
                <w:b/>
                <w:i w:val="0"/>
                <w:color w:val="FFFFFF"/>
                <w:sz w:val="15"/>
              </w:rPr>
              <w:t>Instrument article relied on</w:t>
            </w:r>
          </w:p>
        </w:tc>
        <w:tc>
          <w:tcPr>
            <w:tcW w:type="dxa" w:w="2016"/>
            <w:shd w:val="clear" w:fill="123B4F"/>
          </w:tcPr>
          <w:p>
            <w:r/>
            <w:r>
              <w:rPr>
                <w:rFonts w:ascii="Calibri" w:hAnsi="Calibri"/>
                <w:b/>
                <w:i w:val="0"/>
                <w:color w:val="FFFFFF"/>
                <w:sz w:val="15"/>
              </w:rPr>
              <w:t>Duty on an MSA (no property transfer)</w:t>
            </w:r>
          </w:p>
        </w:tc>
        <w:tc>
          <w:tcPr>
            <w:tcW w:type="dxa" w:w="2016"/>
            <w:shd w:val="clear" w:fill="123B4F"/>
          </w:tcPr>
          <w:p>
            <w:r/>
            <w:r>
              <w:rPr>
                <w:rFonts w:ascii="Calibri" w:hAnsi="Calibri"/>
                <w:b/>
                <w:i w:val="0"/>
                <w:color w:val="FFFFFF"/>
                <w:sz w:val="15"/>
              </w:rPr>
              <w:t>Duty where property is transferred</w:t>
            </w:r>
          </w:p>
        </w:tc>
        <w:tc>
          <w:tcPr>
            <w:tcW w:type="dxa" w:w="1296"/>
            <w:shd w:val="clear" w:fill="123B4F"/>
          </w:tcPr>
          <w:p>
            <w:r/>
            <w:r>
              <w:rPr>
                <w:rFonts w:ascii="Calibri" w:hAnsi="Calibri"/>
                <w:b/>
                <w:i w:val="0"/>
                <w:color w:val="FFFFFF"/>
                <w:sz w:val="15"/>
              </w:rPr>
              <w:t>Registration required?</w:t>
            </w:r>
          </w:p>
        </w:tc>
        <w:tc>
          <w:tcPr>
            <w:tcW w:type="dxa" w:w="1296"/>
            <w:shd w:val="clear" w:fill="123B4F"/>
          </w:tcPr>
          <w:p>
            <w:r/>
            <w:r>
              <w:rPr>
                <w:rFonts w:ascii="Calibri" w:hAnsi="Calibri"/>
                <w:b/>
                <w:i w:val="0"/>
                <w:color w:val="FFFFFF"/>
                <w:sz w:val="15"/>
              </w:rPr>
              <w:t>Verified on</w:t>
            </w:r>
          </w:p>
        </w:tc>
      </w:tr>
      <w:tr>
        <w:tc>
          <w:tcPr>
            <w:tcW w:type="dxa" w:w="1872"/>
          </w:tcPr>
          <w:p>
            <w:r/>
            <w:r>
              <w:rPr>
                <w:rFonts w:ascii="Calibri" w:hAnsi="Calibri"/>
                <w:b w:val="0"/>
                <w:i w:val="0"/>
                <w:color w:val="1B2A32"/>
                <w:sz w:val="15"/>
              </w:rPr>
              <w:t>Andhra Pradesh</w:t>
            </w:r>
          </w:p>
        </w:tc>
        <w:tc>
          <w:tcPr>
            <w:tcW w:type="dxa" w:w="2160"/>
          </w:tcPr>
          <w:p>
            <w:r/>
            <w:r>
              <w:rPr>
                <w:rFonts w:ascii="Calibri" w:hAnsi="Calibri"/>
                <w:b w:val="0"/>
                <w:i w:val="0"/>
                <w:color w:val="1B2A32"/>
                <w:sz w:val="15"/>
              </w:rPr>
              <w:t>[article]</w:t>
            </w:r>
          </w:p>
        </w:tc>
        <w:tc>
          <w:tcPr>
            <w:tcW w:type="dxa" w:w="2016"/>
          </w:tcPr>
          <w:p>
            <w:r/>
            <w:r>
              <w:rPr>
                <w:rFonts w:ascii="Calibri" w:hAnsi="Calibri"/>
                <w:b w:val="0"/>
                <w:i w:val="0"/>
                <w:color w:val="1B2A32"/>
                <w:sz w:val="15"/>
              </w:rPr>
              <w:t>[₹ / %]</w:t>
            </w:r>
          </w:p>
        </w:tc>
        <w:tc>
          <w:tcPr>
            <w:tcW w:type="dxa" w:w="2016"/>
          </w:tcPr>
          <w:p>
            <w:r/>
            <w:r>
              <w:rPr>
                <w:rFonts w:ascii="Calibri" w:hAnsi="Calibri"/>
                <w:b w:val="0"/>
                <w:i w:val="0"/>
                <w:color w:val="1B2A32"/>
                <w:sz w:val="15"/>
              </w:rPr>
              <w:t>[₹ / %]</w:t>
            </w:r>
          </w:p>
        </w:tc>
        <w:tc>
          <w:tcPr>
            <w:tcW w:type="dxa" w:w="1296"/>
          </w:tcPr>
          <w:p>
            <w:r/>
            <w:r>
              <w:rPr>
                <w:rFonts w:ascii="Calibri" w:hAnsi="Calibri"/>
                <w:b w:val="0"/>
                <w:i w:val="0"/>
                <w:color w:val="1B2A32"/>
                <w:sz w:val="15"/>
              </w:rPr>
              <w:t>[Y/N]</w:t>
            </w:r>
          </w:p>
        </w:tc>
        <w:tc>
          <w:tcPr>
            <w:tcW w:type="dxa" w:w="1296"/>
          </w:tcPr>
          <w:p>
            <w:r/>
            <w:r>
              <w:rPr>
                <w:rFonts w:ascii="Calibri" w:hAnsi="Calibri"/>
                <w:b w:val="0"/>
                <w:i w:val="0"/>
                <w:color w:val="1B2A32"/>
                <w:sz w:val="15"/>
              </w:rPr>
              <w:t>[date]</w:t>
            </w:r>
          </w:p>
        </w:tc>
      </w:tr>
      <w:tr>
        <w:tc>
          <w:tcPr>
            <w:tcW w:type="dxa" w:w="1872"/>
            <w:shd w:val="clear" w:fill="F3F7F9"/>
          </w:tcPr>
          <w:p>
            <w:r/>
            <w:r>
              <w:rPr>
                <w:rFonts w:ascii="Calibri" w:hAnsi="Calibri"/>
                <w:b w:val="0"/>
                <w:i w:val="0"/>
                <w:color w:val="1B2A32"/>
                <w:sz w:val="15"/>
              </w:rPr>
              <w:t>Assam</w:t>
            </w:r>
          </w:p>
        </w:tc>
        <w:tc>
          <w:tcPr>
            <w:tcW w:type="dxa" w:w="2160"/>
            <w:shd w:val="clear" w:fill="F3F7F9"/>
          </w:tcPr>
          <w:p>
            <w:r/>
            <w:r>
              <w:rPr>
                <w:rFonts w:ascii="Calibri" w:hAnsi="Calibri"/>
                <w:b w:val="0"/>
                <w:i w:val="0"/>
                <w:color w:val="1B2A32"/>
                <w:sz w:val="15"/>
              </w:rPr>
              <w:t>[article]</w:t>
            </w:r>
          </w:p>
        </w:tc>
        <w:tc>
          <w:tcPr>
            <w:tcW w:type="dxa" w:w="2016"/>
            <w:shd w:val="clear" w:fill="F3F7F9"/>
          </w:tcPr>
          <w:p>
            <w:r/>
            <w:r>
              <w:rPr>
                <w:rFonts w:ascii="Calibri" w:hAnsi="Calibri"/>
                <w:b w:val="0"/>
                <w:i w:val="0"/>
                <w:color w:val="1B2A32"/>
                <w:sz w:val="15"/>
              </w:rPr>
              <w:t>[₹ / %]</w:t>
            </w:r>
          </w:p>
        </w:tc>
        <w:tc>
          <w:tcPr>
            <w:tcW w:type="dxa" w:w="2016"/>
            <w:shd w:val="clear" w:fill="F3F7F9"/>
          </w:tcPr>
          <w:p>
            <w:r/>
            <w:r>
              <w:rPr>
                <w:rFonts w:ascii="Calibri" w:hAnsi="Calibri"/>
                <w:b w:val="0"/>
                <w:i w:val="0"/>
                <w:color w:val="1B2A32"/>
                <w:sz w:val="15"/>
              </w:rPr>
              <w:t>[₹ / %]</w:t>
            </w:r>
          </w:p>
        </w:tc>
        <w:tc>
          <w:tcPr>
            <w:tcW w:type="dxa" w:w="1296"/>
            <w:shd w:val="clear" w:fill="F3F7F9"/>
          </w:tcPr>
          <w:p>
            <w:r/>
            <w:r>
              <w:rPr>
                <w:rFonts w:ascii="Calibri" w:hAnsi="Calibri"/>
                <w:b w:val="0"/>
                <w:i w:val="0"/>
                <w:color w:val="1B2A32"/>
                <w:sz w:val="15"/>
              </w:rPr>
              <w:t>[Y/N]</w:t>
            </w:r>
          </w:p>
        </w:tc>
        <w:tc>
          <w:tcPr>
            <w:tcW w:type="dxa" w:w="1296"/>
            <w:shd w:val="clear" w:fill="F3F7F9"/>
          </w:tcPr>
          <w:p>
            <w:r/>
            <w:r>
              <w:rPr>
                <w:rFonts w:ascii="Calibri" w:hAnsi="Calibri"/>
                <w:b w:val="0"/>
                <w:i w:val="0"/>
                <w:color w:val="1B2A32"/>
                <w:sz w:val="15"/>
              </w:rPr>
              <w:t>[date]</w:t>
            </w:r>
          </w:p>
        </w:tc>
      </w:tr>
      <w:tr>
        <w:tc>
          <w:tcPr>
            <w:tcW w:type="dxa" w:w="1872"/>
          </w:tcPr>
          <w:p>
            <w:r/>
            <w:r>
              <w:rPr>
                <w:rFonts w:ascii="Calibri" w:hAnsi="Calibri"/>
                <w:b w:val="0"/>
                <w:i w:val="0"/>
                <w:color w:val="1B2A32"/>
                <w:sz w:val="15"/>
              </w:rPr>
              <w:t>Bihar</w:t>
            </w:r>
          </w:p>
        </w:tc>
        <w:tc>
          <w:tcPr>
            <w:tcW w:type="dxa" w:w="2160"/>
          </w:tcPr>
          <w:p>
            <w:r/>
            <w:r>
              <w:rPr>
                <w:rFonts w:ascii="Calibri" w:hAnsi="Calibri"/>
                <w:b w:val="0"/>
                <w:i w:val="0"/>
                <w:color w:val="1B2A32"/>
                <w:sz w:val="15"/>
              </w:rPr>
              <w:t>[article]</w:t>
            </w:r>
          </w:p>
        </w:tc>
        <w:tc>
          <w:tcPr>
            <w:tcW w:type="dxa" w:w="2016"/>
          </w:tcPr>
          <w:p>
            <w:r/>
            <w:r>
              <w:rPr>
                <w:rFonts w:ascii="Calibri" w:hAnsi="Calibri"/>
                <w:b w:val="0"/>
                <w:i w:val="0"/>
                <w:color w:val="1B2A32"/>
                <w:sz w:val="15"/>
              </w:rPr>
              <w:t>[₹ / %]</w:t>
            </w:r>
          </w:p>
        </w:tc>
        <w:tc>
          <w:tcPr>
            <w:tcW w:type="dxa" w:w="2016"/>
          </w:tcPr>
          <w:p>
            <w:r/>
            <w:r>
              <w:rPr>
                <w:rFonts w:ascii="Calibri" w:hAnsi="Calibri"/>
                <w:b w:val="0"/>
                <w:i w:val="0"/>
                <w:color w:val="1B2A32"/>
                <w:sz w:val="15"/>
              </w:rPr>
              <w:t>[₹ / %]</w:t>
            </w:r>
          </w:p>
        </w:tc>
        <w:tc>
          <w:tcPr>
            <w:tcW w:type="dxa" w:w="1296"/>
          </w:tcPr>
          <w:p>
            <w:r/>
            <w:r>
              <w:rPr>
                <w:rFonts w:ascii="Calibri" w:hAnsi="Calibri"/>
                <w:b w:val="0"/>
                <w:i w:val="0"/>
                <w:color w:val="1B2A32"/>
                <w:sz w:val="15"/>
              </w:rPr>
              <w:t>[Y/N]</w:t>
            </w:r>
          </w:p>
        </w:tc>
        <w:tc>
          <w:tcPr>
            <w:tcW w:type="dxa" w:w="1296"/>
          </w:tcPr>
          <w:p>
            <w:r/>
            <w:r>
              <w:rPr>
                <w:rFonts w:ascii="Calibri" w:hAnsi="Calibri"/>
                <w:b w:val="0"/>
                <w:i w:val="0"/>
                <w:color w:val="1B2A32"/>
                <w:sz w:val="15"/>
              </w:rPr>
              <w:t>[date]</w:t>
            </w:r>
          </w:p>
        </w:tc>
      </w:tr>
      <w:tr>
        <w:tc>
          <w:tcPr>
            <w:tcW w:type="dxa" w:w="1872"/>
            <w:shd w:val="clear" w:fill="F3F7F9"/>
          </w:tcPr>
          <w:p>
            <w:r/>
            <w:r>
              <w:rPr>
                <w:rFonts w:ascii="Calibri" w:hAnsi="Calibri"/>
                <w:b w:val="0"/>
                <w:i w:val="0"/>
                <w:color w:val="1B2A32"/>
                <w:sz w:val="15"/>
              </w:rPr>
              <w:t>Chhattisgarh</w:t>
            </w:r>
          </w:p>
        </w:tc>
        <w:tc>
          <w:tcPr>
            <w:tcW w:type="dxa" w:w="2160"/>
            <w:shd w:val="clear" w:fill="F3F7F9"/>
          </w:tcPr>
          <w:p>
            <w:r/>
            <w:r>
              <w:rPr>
                <w:rFonts w:ascii="Calibri" w:hAnsi="Calibri"/>
                <w:b w:val="0"/>
                <w:i w:val="0"/>
                <w:color w:val="1B2A32"/>
                <w:sz w:val="15"/>
              </w:rPr>
              <w:t>[article]</w:t>
            </w:r>
          </w:p>
        </w:tc>
        <w:tc>
          <w:tcPr>
            <w:tcW w:type="dxa" w:w="2016"/>
            <w:shd w:val="clear" w:fill="F3F7F9"/>
          </w:tcPr>
          <w:p>
            <w:r/>
            <w:r>
              <w:rPr>
                <w:rFonts w:ascii="Calibri" w:hAnsi="Calibri"/>
                <w:b w:val="0"/>
                <w:i w:val="0"/>
                <w:color w:val="1B2A32"/>
                <w:sz w:val="15"/>
              </w:rPr>
              <w:t>[₹ / %]</w:t>
            </w:r>
          </w:p>
        </w:tc>
        <w:tc>
          <w:tcPr>
            <w:tcW w:type="dxa" w:w="2016"/>
            <w:shd w:val="clear" w:fill="F3F7F9"/>
          </w:tcPr>
          <w:p>
            <w:r/>
            <w:r>
              <w:rPr>
                <w:rFonts w:ascii="Calibri" w:hAnsi="Calibri"/>
                <w:b w:val="0"/>
                <w:i w:val="0"/>
                <w:color w:val="1B2A32"/>
                <w:sz w:val="15"/>
              </w:rPr>
              <w:t>[₹ / %]</w:t>
            </w:r>
          </w:p>
        </w:tc>
        <w:tc>
          <w:tcPr>
            <w:tcW w:type="dxa" w:w="1296"/>
            <w:shd w:val="clear" w:fill="F3F7F9"/>
          </w:tcPr>
          <w:p>
            <w:r/>
            <w:r>
              <w:rPr>
                <w:rFonts w:ascii="Calibri" w:hAnsi="Calibri"/>
                <w:b w:val="0"/>
                <w:i w:val="0"/>
                <w:color w:val="1B2A32"/>
                <w:sz w:val="15"/>
              </w:rPr>
              <w:t>[Y/N]</w:t>
            </w:r>
          </w:p>
        </w:tc>
        <w:tc>
          <w:tcPr>
            <w:tcW w:type="dxa" w:w="1296"/>
            <w:shd w:val="clear" w:fill="F3F7F9"/>
          </w:tcPr>
          <w:p>
            <w:r/>
            <w:r>
              <w:rPr>
                <w:rFonts w:ascii="Calibri" w:hAnsi="Calibri"/>
                <w:b w:val="0"/>
                <w:i w:val="0"/>
                <w:color w:val="1B2A32"/>
                <w:sz w:val="15"/>
              </w:rPr>
              <w:t>[date]</w:t>
            </w:r>
          </w:p>
        </w:tc>
      </w:tr>
      <w:tr>
        <w:tc>
          <w:tcPr>
            <w:tcW w:type="dxa" w:w="1872"/>
          </w:tcPr>
          <w:p>
            <w:r/>
            <w:r>
              <w:rPr>
                <w:rFonts w:ascii="Calibri" w:hAnsi="Calibri"/>
                <w:b w:val="0"/>
                <w:i w:val="0"/>
                <w:color w:val="1B2A32"/>
                <w:sz w:val="15"/>
              </w:rPr>
              <w:t>Delhi (NCT)</w:t>
            </w:r>
          </w:p>
        </w:tc>
        <w:tc>
          <w:tcPr>
            <w:tcW w:type="dxa" w:w="2160"/>
          </w:tcPr>
          <w:p>
            <w:r/>
            <w:r>
              <w:rPr>
                <w:rFonts w:ascii="Calibri" w:hAnsi="Calibri"/>
                <w:b w:val="0"/>
                <w:i w:val="0"/>
                <w:color w:val="1B2A32"/>
                <w:sz w:val="15"/>
              </w:rPr>
              <w:t>[article]</w:t>
            </w:r>
          </w:p>
        </w:tc>
        <w:tc>
          <w:tcPr>
            <w:tcW w:type="dxa" w:w="2016"/>
          </w:tcPr>
          <w:p>
            <w:r/>
            <w:r>
              <w:rPr>
                <w:rFonts w:ascii="Calibri" w:hAnsi="Calibri"/>
                <w:b w:val="0"/>
                <w:i w:val="0"/>
                <w:color w:val="1B2A32"/>
                <w:sz w:val="15"/>
              </w:rPr>
              <w:t>[₹ / %]</w:t>
            </w:r>
          </w:p>
        </w:tc>
        <w:tc>
          <w:tcPr>
            <w:tcW w:type="dxa" w:w="2016"/>
          </w:tcPr>
          <w:p>
            <w:r/>
            <w:r>
              <w:rPr>
                <w:rFonts w:ascii="Calibri" w:hAnsi="Calibri"/>
                <w:b w:val="0"/>
                <w:i w:val="0"/>
                <w:color w:val="1B2A32"/>
                <w:sz w:val="15"/>
              </w:rPr>
              <w:t>[₹ / %]</w:t>
            </w:r>
          </w:p>
        </w:tc>
        <w:tc>
          <w:tcPr>
            <w:tcW w:type="dxa" w:w="1296"/>
          </w:tcPr>
          <w:p>
            <w:r/>
            <w:r>
              <w:rPr>
                <w:rFonts w:ascii="Calibri" w:hAnsi="Calibri"/>
                <w:b w:val="0"/>
                <w:i w:val="0"/>
                <w:color w:val="1B2A32"/>
                <w:sz w:val="15"/>
              </w:rPr>
              <w:t>[Y/N]</w:t>
            </w:r>
          </w:p>
        </w:tc>
        <w:tc>
          <w:tcPr>
            <w:tcW w:type="dxa" w:w="1296"/>
          </w:tcPr>
          <w:p>
            <w:r/>
            <w:r>
              <w:rPr>
                <w:rFonts w:ascii="Calibri" w:hAnsi="Calibri"/>
                <w:b w:val="0"/>
                <w:i w:val="0"/>
                <w:color w:val="1B2A32"/>
                <w:sz w:val="15"/>
              </w:rPr>
              <w:t>[date]</w:t>
            </w:r>
          </w:p>
        </w:tc>
      </w:tr>
      <w:tr>
        <w:tc>
          <w:tcPr>
            <w:tcW w:type="dxa" w:w="1872"/>
            <w:shd w:val="clear" w:fill="F3F7F9"/>
          </w:tcPr>
          <w:p>
            <w:r/>
            <w:r>
              <w:rPr>
                <w:rFonts w:ascii="Calibri" w:hAnsi="Calibri"/>
                <w:b w:val="0"/>
                <w:i w:val="0"/>
                <w:color w:val="1B2A32"/>
                <w:sz w:val="15"/>
              </w:rPr>
              <w:t>Goa</w:t>
            </w:r>
          </w:p>
        </w:tc>
        <w:tc>
          <w:tcPr>
            <w:tcW w:type="dxa" w:w="2160"/>
            <w:shd w:val="clear" w:fill="F3F7F9"/>
          </w:tcPr>
          <w:p>
            <w:r/>
            <w:r>
              <w:rPr>
                <w:rFonts w:ascii="Calibri" w:hAnsi="Calibri"/>
                <w:b w:val="0"/>
                <w:i w:val="0"/>
                <w:color w:val="1B2A32"/>
                <w:sz w:val="15"/>
              </w:rPr>
              <w:t>[article]</w:t>
            </w:r>
          </w:p>
        </w:tc>
        <w:tc>
          <w:tcPr>
            <w:tcW w:type="dxa" w:w="2016"/>
            <w:shd w:val="clear" w:fill="F3F7F9"/>
          </w:tcPr>
          <w:p>
            <w:r/>
            <w:r>
              <w:rPr>
                <w:rFonts w:ascii="Calibri" w:hAnsi="Calibri"/>
                <w:b w:val="0"/>
                <w:i w:val="0"/>
                <w:color w:val="1B2A32"/>
                <w:sz w:val="15"/>
              </w:rPr>
              <w:t>[₹ / %]</w:t>
            </w:r>
          </w:p>
        </w:tc>
        <w:tc>
          <w:tcPr>
            <w:tcW w:type="dxa" w:w="2016"/>
            <w:shd w:val="clear" w:fill="F3F7F9"/>
          </w:tcPr>
          <w:p>
            <w:r/>
            <w:r>
              <w:rPr>
                <w:rFonts w:ascii="Calibri" w:hAnsi="Calibri"/>
                <w:b w:val="0"/>
                <w:i w:val="0"/>
                <w:color w:val="1B2A32"/>
                <w:sz w:val="15"/>
              </w:rPr>
              <w:t>[₹ / %]</w:t>
            </w:r>
          </w:p>
        </w:tc>
        <w:tc>
          <w:tcPr>
            <w:tcW w:type="dxa" w:w="1296"/>
            <w:shd w:val="clear" w:fill="F3F7F9"/>
          </w:tcPr>
          <w:p>
            <w:r/>
            <w:r>
              <w:rPr>
                <w:rFonts w:ascii="Calibri" w:hAnsi="Calibri"/>
                <w:b w:val="0"/>
                <w:i w:val="0"/>
                <w:color w:val="1B2A32"/>
                <w:sz w:val="15"/>
              </w:rPr>
              <w:t>[Y/N]</w:t>
            </w:r>
          </w:p>
        </w:tc>
        <w:tc>
          <w:tcPr>
            <w:tcW w:type="dxa" w:w="1296"/>
            <w:shd w:val="clear" w:fill="F3F7F9"/>
          </w:tcPr>
          <w:p>
            <w:r/>
            <w:r>
              <w:rPr>
                <w:rFonts w:ascii="Calibri" w:hAnsi="Calibri"/>
                <w:b w:val="0"/>
                <w:i w:val="0"/>
                <w:color w:val="1B2A32"/>
                <w:sz w:val="15"/>
              </w:rPr>
              <w:t>[date]</w:t>
            </w:r>
          </w:p>
        </w:tc>
      </w:tr>
      <w:tr>
        <w:tc>
          <w:tcPr>
            <w:tcW w:type="dxa" w:w="1872"/>
          </w:tcPr>
          <w:p>
            <w:r/>
            <w:r>
              <w:rPr>
                <w:rFonts w:ascii="Calibri" w:hAnsi="Calibri"/>
                <w:b w:val="0"/>
                <w:i w:val="0"/>
                <w:color w:val="1B2A32"/>
                <w:sz w:val="15"/>
              </w:rPr>
              <w:t>Gujarat</w:t>
            </w:r>
          </w:p>
        </w:tc>
        <w:tc>
          <w:tcPr>
            <w:tcW w:type="dxa" w:w="2160"/>
          </w:tcPr>
          <w:p>
            <w:r/>
            <w:r>
              <w:rPr>
                <w:rFonts w:ascii="Calibri" w:hAnsi="Calibri"/>
                <w:b w:val="0"/>
                <w:i w:val="0"/>
                <w:color w:val="1B2A32"/>
                <w:sz w:val="15"/>
              </w:rPr>
              <w:t>[article]</w:t>
            </w:r>
          </w:p>
        </w:tc>
        <w:tc>
          <w:tcPr>
            <w:tcW w:type="dxa" w:w="2016"/>
          </w:tcPr>
          <w:p>
            <w:r/>
            <w:r>
              <w:rPr>
                <w:rFonts w:ascii="Calibri" w:hAnsi="Calibri"/>
                <w:b w:val="0"/>
                <w:i w:val="0"/>
                <w:color w:val="1B2A32"/>
                <w:sz w:val="15"/>
              </w:rPr>
              <w:t>[₹ / %]</w:t>
            </w:r>
          </w:p>
        </w:tc>
        <w:tc>
          <w:tcPr>
            <w:tcW w:type="dxa" w:w="2016"/>
          </w:tcPr>
          <w:p>
            <w:r/>
            <w:r>
              <w:rPr>
                <w:rFonts w:ascii="Calibri" w:hAnsi="Calibri"/>
                <w:b w:val="0"/>
                <w:i w:val="0"/>
                <w:color w:val="1B2A32"/>
                <w:sz w:val="15"/>
              </w:rPr>
              <w:t>[₹ / %]</w:t>
            </w:r>
          </w:p>
        </w:tc>
        <w:tc>
          <w:tcPr>
            <w:tcW w:type="dxa" w:w="1296"/>
          </w:tcPr>
          <w:p>
            <w:r/>
            <w:r>
              <w:rPr>
                <w:rFonts w:ascii="Calibri" w:hAnsi="Calibri"/>
                <w:b w:val="0"/>
                <w:i w:val="0"/>
                <w:color w:val="1B2A32"/>
                <w:sz w:val="15"/>
              </w:rPr>
              <w:t>[Y/N]</w:t>
            </w:r>
          </w:p>
        </w:tc>
        <w:tc>
          <w:tcPr>
            <w:tcW w:type="dxa" w:w="1296"/>
          </w:tcPr>
          <w:p>
            <w:r/>
            <w:r>
              <w:rPr>
                <w:rFonts w:ascii="Calibri" w:hAnsi="Calibri"/>
                <w:b w:val="0"/>
                <w:i w:val="0"/>
                <w:color w:val="1B2A32"/>
                <w:sz w:val="15"/>
              </w:rPr>
              <w:t>[date]</w:t>
            </w:r>
          </w:p>
        </w:tc>
      </w:tr>
      <w:tr>
        <w:tc>
          <w:tcPr>
            <w:tcW w:type="dxa" w:w="1872"/>
            <w:shd w:val="clear" w:fill="F3F7F9"/>
          </w:tcPr>
          <w:p>
            <w:r/>
            <w:r>
              <w:rPr>
                <w:rFonts w:ascii="Calibri" w:hAnsi="Calibri"/>
                <w:b w:val="0"/>
                <w:i w:val="0"/>
                <w:color w:val="1B2A32"/>
                <w:sz w:val="15"/>
              </w:rPr>
              <w:t>Haryana</w:t>
            </w:r>
          </w:p>
        </w:tc>
        <w:tc>
          <w:tcPr>
            <w:tcW w:type="dxa" w:w="2160"/>
            <w:shd w:val="clear" w:fill="F3F7F9"/>
          </w:tcPr>
          <w:p>
            <w:r/>
            <w:r>
              <w:rPr>
                <w:rFonts w:ascii="Calibri" w:hAnsi="Calibri"/>
                <w:b w:val="0"/>
                <w:i w:val="0"/>
                <w:color w:val="1B2A32"/>
                <w:sz w:val="15"/>
              </w:rPr>
              <w:t>[article]</w:t>
            </w:r>
          </w:p>
        </w:tc>
        <w:tc>
          <w:tcPr>
            <w:tcW w:type="dxa" w:w="2016"/>
            <w:shd w:val="clear" w:fill="F3F7F9"/>
          </w:tcPr>
          <w:p>
            <w:r/>
            <w:r>
              <w:rPr>
                <w:rFonts w:ascii="Calibri" w:hAnsi="Calibri"/>
                <w:b w:val="0"/>
                <w:i w:val="0"/>
                <w:color w:val="1B2A32"/>
                <w:sz w:val="15"/>
              </w:rPr>
              <w:t>[₹ / %]</w:t>
            </w:r>
          </w:p>
        </w:tc>
        <w:tc>
          <w:tcPr>
            <w:tcW w:type="dxa" w:w="2016"/>
            <w:shd w:val="clear" w:fill="F3F7F9"/>
          </w:tcPr>
          <w:p>
            <w:r/>
            <w:r>
              <w:rPr>
                <w:rFonts w:ascii="Calibri" w:hAnsi="Calibri"/>
                <w:b w:val="0"/>
                <w:i w:val="0"/>
                <w:color w:val="1B2A32"/>
                <w:sz w:val="15"/>
              </w:rPr>
              <w:t>[₹ / %]</w:t>
            </w:r>
          </w:p>
        </w:tc>
        <w:tc>
          <w:tcPr>
            <w:tcW w:type="dxa" w:w="1296"/>
            <w:shd w:val="clear" w:fill="F3F7F9"/>
          </w:tcPr>
          <w:p>
            <w:r/>
            <w:r>
              <w:rPr>
                <w:rFonts w:ascii="Calibri" w:hAnsi="Calibri"/>
                <w:b w:val="0"/>
                <w:i w:val="0"/>
                <w:color w:val="1B2A32"/>
                <w:sz w:val="15"/>
              </w:rPr>
              <w:t>[Y/N]</w:t>
            </w:r>
          </w:p>
        </w:tc>
        <w:tc>
          <w:tcPr>
            <w:tcW w:type="dxa" w:w="1296"/>
            <w:shd w:val="clear" w:fill="F3F7F9"/>
          </w:tcPr>
          <w:p>
            <w:r/>
            <w:r>
              <w:rPr>
                <w:rFonts w:ascii="Calibri" w:hAnsi="Calibri"/>
                <w:b w:val="0"/>
                <w:i w:val="0"/>
                <w:color w:val="1B2A32"/>
                <w:sz w:val="15"/>
              </w:rPr>
              <w:t>[date]</w:t>
            </w:r>
          </w:p>
        </w:tc>
      </w:tr>
      <w:tr>
        <w:tc>
          <w:tcPr>
            <w:tcW w:type="dxa" w:w="1872"/>
          </w:tcPr>
          <w:p>
            <w:r/>
            <w:r>
              <w:rPr>
                <w:rFonts w:ascii="Calibri" w:hAnsi="Calibri"/>
                <w:b w:val="0"/>
                <w:i w:val="0"/>
                <w:color w:val="1B2A32"/>
                <w:sz w:val="15"/>
              </w:rPr>
              <w:t>Himachal Pradesh</w:t>
            </w:r>
          </w:p>
        </w:tc>
        <w:tc>
          <w:tcPr>
            <w:tcW w:type="dxa" w:w="2160"/>
          </w:tcPr>
          <w:p>
            <w:r/>
            <w:r>
              <w:rPr>
                <w:rFonts w:ascii="Calibri" w:hAnsi="Calibri"/>
                <w:b w:val="0"/>
                <w:i w:val="0"/>
                <w:color w:val="1B2A32"/>
                <w:sz w:val="15"/>
              </w:rPr>
              <w:t>[article]</w:t>
            </w:r>
          </w:p>
        </w:tc>
        <w:tc>
          <w:tcPr>
            <w:tcW w:type="dxa" w:w="2016"/>
          </w:tcPr>
          <w:p>
            <w:r/>
            <w:r>
              <w:rPr>
                <w:rFonts w:ascii="Calibri" w:hAnsi="Calibri"/>
                <w:b w:val="0"/>
                <w:i w:val="0"/>
                <w:color w:val="1B2A32"/>
                <w:sz w:val="15"/>
              </w:rPr>
              <w:t>[₹ / %]</w:t>
            </w:r>
          </w:p>
        </w:tc>
        <w:tc>
          <w:tcPr>
            <w:tcW w:type="dxa" w:w="2016"/>
          </w:tcPr>
          <w:p>
            <w:r/>
            <w:r>
              <w:rPr>
                <w:rFonts w:ascii="Calibri" w:hAnsi="Calibri"/>
                <w:b w:val="0"/>
                <w:i w:val="0"/>
                <w:color w:val="1B2A32"/>
                <w:sz w:val="15"/>
              </w:rPr>
              <w:t>[₹ / %]</w:t>
            </w:r>
          </w:p>
        </w:tc>
        <w:tc>
          <w:tcPr>
            <w:tcW w:type="dxa" w:w="1296"/>
          </w:tcPr>
          <w:p>
            <w:r/>
            <w:r>
              <w:rPr>
                <w:rFonts w:ascii="Calibri" w:hAnsi="Calibri"/>
                <w:b w:val="0"/>
                <w:i w:val="0"/>
                <w:color w:val="1B2A32"/>
                <w:sz w:val="15"/>
              </w:rPr>
              <w:t>[Y/N]</w:t>
            </w:r>
          </w:p>
        </w:tc>
        <w:tc>
          <w:tcPr>
            <w:tcW w:type="dxa" w:w="1296"/>
          </w:tcPr>
          <w:p>
            <w:r/>
            <w:r>
              <w:rPr>
                <w:rFonts w:ascii="Calibri" w:hAnsi="Calibri"/>
                <w:b w:val="0"/>
                <w:i w:val="0"/>
                <w:color w:val="1B2A32"/>
                <w:sz w:val="15"/>
              </w:rPr>
              <w:t>[date]</w:t>
            </w:r>
          </w:p>
        </w:tc>
      </w:tr>
      <w:tr>
        <w:tc>
          <w:tcPr>
            <w:tcW w:type="dxa" w:w="1872"/>
            <w:shd w:val="clear" w:fill="F3F7F9"/>
          </w:tcPr>
          <w:p>
            <w:r/>
            <w:r>
              <w:rPr>
                <w:rFonts w:ascii="Calibri" w:hAnsi="Calibri"/>
                <w:b w:val="0"/>
                <w:i w:val="0"/>
                <w:color w:val="1B2A32"/>
                <w:sz w:val="15"/>
              </w:rPr>
              <w:t>Jharkhand</w:t>
            </w:r>
          </w:p>
        </w:tc>
        <w:tc>
          <w:tcPr>
            <w:tcW w:type="dxa" w:w="2160"/>
            <w:shd w:val="clear" w:fill="F3F7F9"/>
          </w:tcPr>
          <w:p>
            <w:r/>
            <w:r>
              <w:rPr>
                <w:rFonts w:ascii="Calibri" w:hAnsi="Calibri"/>
                <w:b w:val="0"/>
                <w:i w:val="0"/>
                <w:color w:val="1B2A32"/>
                <w:sz w:val="15"/>
              </w:rPr>
              <w:t>[article]</w:t>
            </w:r>
          </w:p>
        </w:tc>
        <w:tc>
          <w:tcPr>
            <w:tcW w:type="dxa" w:w="2016"/>
            <w:shd w:val="clear" w:fill="F3F7F9"/>
          </w:tcPr>
          <w:p>
            <w:r/>
            <w:r>
              <w:rPr>
                <w:rFonts w:ascii="Calibri" w:hAnsi="Calibri"/>
                <w:b w:val="0"/>
                <w:i w:val="0"/>
                <w:color w:val="1B2A32"/>
                <w:sz w:val="15"/>
              </w:rPr>
              <w:t>[₹ / %]</w:t>
            </w:r>
          </w:p>
        </w:tc>
        <w:tc>
          <w:tcPr>
            <w:tcW w:type="dxa" w:w="2016"/>
            <w:shd w:val="clear" w:fill="F3F7F9"/>
          </w:tcPr>
          <w:p>
            <w:r/>
            <w:r>
              <w:rPr>
                <w:rFonts w:ascii="Calibri" w:hAnsi="Calibri"/>
                <w:b w:val="0"/>
                <w:i w:val="0"/>
                <w:color w:val="1B2A32"/>
                <w:sz w:val="15"/>
              </w:rPr>
              <w:t>[₹ / %]</w:t>
            </w:r>
          </w:p>
        </w:tc>
        <w:tc>
          <w:tcPr>
            <w:tcW w:type="dxa" w:w="1296"/>
            <w:shd w:val="clear" w:fill="F3F7F9"/>
          </w:tcPr>
          <w:p>
            <w:r/>
            <w:r>
              <w:rPr>
                <w:rFonts w:ascii="Calibri" w:hAnsi="Calibri"/>
                <w:b w:val="0"/>
                <w:i w:val="0"/>
                <w:color w:val="1B2A32"/>
                <w:sz w:val="15"/>
              </w:rPr>
              <w:t>[Y/N]</w:t>
            </w:r>
          </w:p>
        </w:tc>
        <w:tc>
          <w:tcPr>
            <w:tcW w:type="dxa" w:w="1296"/>
            <w:shd w:val="clear" w:fill="F3F7F9"/>
          </w:tcPr>
          <w:p>
            <w:r/>
            <w:r>
              <w:rPr>
                <w:rFonts w:ascii="Calibri" w:hAnsi="Calibri"/>
                <w:b w:val="0"/>
                <w:i w:val="0"/>
                <w:color w:val="1B2A32"/>
                <w:sz w:val="15"/>
              </w:rPr>
              <w:t>[date]</w:t>
            </w:r>
          </w:p>
        </w:tc>
      </w:tr>
      <w:tr>
        <w:tc>
          <w:tcPr>
            <w:tcW w:type="dxa" w:w="1872"/>
          </w:tcPr>
          <w:p>
            <w:r/>
            <w:r>
              <w:rPr>
                <w:rFonts w:ascii="Calibri" w:hAnsi="Calibri"/>
                <w:b w:val="0"/>
                <w:i w:val="0"/>
                <w:color w:val="1B2A32"/>
                <w:sz w:val="15"/>
              </w:rPr>
              <w:t>Karnataka</w:t>
            </w:r>
          </w:p>
        </w:tc>
        <w:tc>
          <w:tcPr>
            <w:tcW w:type="dxa" w:w="2160"/>
          </w:tcPr>
          <w:p>
            <w:r/>
            <w:r>
              <w:rPr>
                <w:rFonts w:ascii="Calibri" w:hAnsi="Calibri"/>
                <w:b w:val="0"/>
                <w:i w:val="0"/>
                <w:color w:val="1B2A32"/>
                <w:sz w:val="15"/>
              </w:rPr>
              <w:t>[article]</w:t>
            </w:r>
          </w:p>
        </w:tc>
        <w:tc>
          <w:tcPr>
            <w:tcW w:type="dxa" w:w="2016"/>
          </w:tcPr>
          <w:p>
            <w:r/>
            <w:r>
              <w:rPr>
                <w:rFonts w:ascii="Calibri" w:hAnsi="Calibri"/>
                <w:b w:val="0"/>
                <w:i w:val="0"/>
                <w:color w:val="1B2A32"/>
                <w:sz w:val="15"/>
              </w:rPr>
              <w:t>[₹ / %]</w:t>
            </w:r>
          </w:p>
        </w:tc>
        <w:tc>
          <w:tcPr>
            <w:tcW w:type="dxa" w:w="2016"/>
          </w:tcPr>
          <w:p>
            <w:r/>
            <w:r>
              <w:rPr>
                <w:rFonts w:ascii="Calibri" w:hAnsi="Calibri"/>
                <w:b w:val="0"/>
                <w:i w:val="0"/>
                <w:color w:val="1B2A32"/>
                <w:sz w:val="15"/>
              </w:rPr>
              <w:t>[₹ / %]</w:t>
            </w:r>
          </w:p>
        </w:tc>
        <w:tc>
          <w:tcPr>
            <w:tcW w:type="dxa" w:w="1296"/>
          </w:tcPr>
          <w:p>
            <w:r/>
            <w:r>
              <w:rPr>
                <w:rFonts w:ascii="Calibri" w:hAnsi="Calibri"/>
                <w:b w:val="0"/>
                <w:i w:val="0"/>
                <w:color w:val="1B2A32"/>
                <w:sz w:val="15"/>
              </w:rPr>
              <w:t>[Y/N]</w:t>
            </w:r>
          </w:p>
        </w:tc>
        <w:tc>
          <w:tcPr>
            <w:tcW w:type="dxa" w:w="1296"/>
          </w:tcPr>
          <w:p>
            <w:r/>
            <w:r>
              <w:rPr>
                <w:rFonts w:ascii="Calibri" w:hAnsi="Calibri"/>
                <w:b w:val="0"/>
                <w:i w:val="0"/>
                <w:color w:val="1B2A32"/>
                <w:sz w:val="15"/>
              </w:rPr>
              <w:t>[date]</w:t>
            </w:r>
          </w:p>
        </w:tc>
      </w:tr>
      <w:tr>
        <w:tc>
          <w:tcPr>
            <w:tcW w:type="dxa" w:w="1872"/>
            <w:shd w:val="clear" w:fill="F3F7F9"/>
          </w:tcPr>
          <w:p>
            <w:r/>
            <w:r>
              <w:rPr>
                <w:rFonts w:ascii="Calibri" w:hAnsi="Calibri"/>
                <w:b w:val="0"/>
                <w:i w:val="0"/>
                <w:color w:val="1B2A32"/>
                <w:sz w:val="15"/>
              </w:rPr>
              <w:t>Kerala</w:t>
            </w:r>
          </w:p>
        </w:tc>
        <w:tc>
          <w:tcPr>
            <w:tcW w:type="dxa" w:w="2160"/>
            <w:shd w:val="clear" w:fill="F3F7F9"/>
          </w:tcPr>
          <w:p>
            <w:r/>
            <w:r>
              <w:rPr>
                <w:rFonts w:ascii="Calibri" w:hAnsi="Calibri"/>
                <w:b w:val="0"/>
                <w:i w:val="0"/>
                <w:color w:val="1B2A32"/>
                <w:sz w:val="15"/>
              </w:rPr>
              <w:t>[article]</w:t>
            </w:r>
          </w:p>
        </w:tc>
        <w:tc>
          <w:tcPr>
            <w:tcW w:type="dxa" w:w="2016"/>
            <w:shd w:val="clear" w:fill="F3F7F9"/>
          </w:tcPr>
          <w:p>
            <w:r/>
            <w:r>
              <w:rPr>
                <w:rFonts w:ascii="Calibri" w:hAnsi="Calibri"/>
                <w:b w:val="0"/>
                <w:i w:val="0"/>
                <w:color w:val="1B2A32"/>
                <w:sz w:val="15"/>
              </w:rPr>
              <w:t>[₹ / %]</w:t>
            </w:r>
          </w:p>
        </w:tc>
        <w:tc>
          <w:tcPr>
            <w:tcW w:type="dxa" w:w="2016"/>
            <w:shd w:val="clear" w:fill="F3F7F9"/>
          </w:tcPr>
          <w:p>
            <w:r/>
            <w:r>
              <w:rPr>
                <w:rFonts w:ascii="Calibri" w:hAnsi="Calibri"/>
                <w:b w:val="0"/>
                <w:i w:val="0"/>
                <w:color w:val="1B2A32"/>
                <w:sz w:val="15"/>
              </w:rPr>
              <w:t>[₹ / %]</w:t>
            </w:r>
          </w:p>
        </w:tc>
        <w:tc>
          <w:tcPr>
            <w:tcW w:type="dxa" w:w="1296"/>
            <w:shd w:val="clear" w:fill="F3F7F9"/>
          </w:tcPr>
          <w:p>
            <w:r/>
            <w:r>
              <w:rPr>
                <w:rFonts w:ascii="Calibri" w:hAnsi="Calibri"/>
                <w:b w:val="0"/>
                <w:i w:val="0"/>
                <w:color w:val="1B2A32"/>
                <w:sz w:val="15"/>
              </w:rPr>
              <w:t>[Y/N]</w:t>
            </w:r>
          </w:p>
        </w:tc>
        <w:tc>
          <w:tcPr>
            <w:tcW w:type="dxa" w:w="1296"/>
            <w:shd w:val="clear" w:fill="F3F7F9"/>
          </w:tcPr>
          <w:p>
            <w:r/>
            <w:r>
              <w:rPr>
                <w:rFonts w:ascii="Calibri" w:hAnsi="Calibri"/>
                <w:b w:val="0"/>
                <w:i w:val="0"/>
                <w:color w:val="1B2A32"/>
                <w:sz w:val="15"/>
              </w:rPr>
              <w:t>[date]</w:t>
            </w:r>
          </w:p>
        </w:tc>
      </w:tr>
      <w:tr>
        <w:tc>
          <w:tcPr>
            <w:tcW w:type="dxa" w:w="1872"/>
          </w:tcPr>
          <w:p>
            <w:r/>
            <w:r>
              <w:rPr>
                <w:rFonts w:ascii="Calibri" w:hAnsi="Calibri"/>
                <w:b w:val="0"/>
                <w:i w:val="0"/>
                <w:color w:val="1B2A32"/>
                <w:sz w:val="15"/>
              </w:rPr>
              <w:t>Madhya Pradesh</w:t>
            </w:r>
          </w:p>
        </w:tc>
        <w:tc>
          <w:tcPr>
            <w:tcW w:type="dxa" w:w="2160"/>
          </w:tcPr>
          <w:p>
            <w:r/>
            <w:r>
              <w:rPr>
                <w:rFonts w:ascii="Calibri" w:hAnsi="Calibri"/>
                <w:b w:val="0"/>
                <w:i w:val="0"/>
                <w:color w:val="1B2A32"/>
                <w:sz w:val="15"/>
              </w:rPr>
              <w:t>[article]</w:t>
            </w:r>
          </w:p>
        </w:tc>
        <w:tc>
          <w:tcPr>
            <w:tcW w:type="dxa" w:w="2016"/>
          </w:tcPr>
          <w:p>
            <w:r/>
            <w:r>
              <w:rPr>
                <w:rFonts w:ascii="Calibri" w:hAnsi="Calibri"/>
                <w:b w:val="0"/>
                <w:i w:val="0"/>
                <w:color w:val="1B2A32"/>
                <w:sz w:val="15"/>
              </w:rPr>
              <w:t>[₹ / %]</w:t>
            </w:r>
          </w:p>
        </w:tc>
        <w:tc>
          <w:tcPr>
            <w:tcW w:type="dxa" w:w="2016"/>
          </w:tcPr>
          <w:p>
            <w:r/>
            <w:r>
              <w:rPr>
                <w:rFonts w:ascii="Calibri" w:hAnsi="Calibri"/>
                <w:b w:val="0"/>
                <w:i w:val="0"/>
                <w:color w:val="1B2A32"/>
                <w:sz w:val="15"/>
              </w:rPr>
              <w:t>[₹ / %]</w:t>
            </w:r>
          </w:p>
        </w:tc>
        <w:tc>
          <w:tcPr>
            <w:tcW w:type="dxa" w:w="1296"/>
          </w:tcPr>
          <w:p>
            <w:r/>
            <w:r>
              <w:rPr>
                <w:rFonts w:ascii="Calibri" w:hAnsi="Calibri"/>
                <w:b w:val="0"/>
                <w:i w:val="0"/>
                <w:color w:val="1B2A32"/>
                <w:sz w:val="15"/>
              </w:rPr>
              <w:t>[Y/N]</w:t>
            </w:r>
          </w:p>
        </w:tc>
        <w:tc>
          <w:tcPr>
            <w:tcW w:type="dxa" w:w="1296"/>
          </w:tcPr>
          <w:p>
            <w:r/>
            <w:r>
              <w:rPr>
                <w:rFonts w:ascii="Calibri" w:hAnsi="Calibri"/>
                <w:b w:val="0"/>
                <w:i w:val="0"/>
                <w:color w:val="1B2A32"/>
                <w:sz w:val="15"/>
              </w:rPr>
              <w:t>[date]</w:t>
            </w:r>
          </w:p>
        </w:tc>
      </w:tr>
      <w:tr>
        <w:tc>
          <w:tcPr>
            <w:tcW w:type="dxa" w:w="1872"/>
            <w:shd w:val="clear" w:fill="F3F7F9"/>
          </w:tcPr>
          <w:p>
            <w:r/>
            <w:r>
              <w:rPr>
                <w:rFonts w:ascii="Calibri" w:hAnsi="Calibri"/>
                <w:b w:val="0"/>
                <w:i w:val="0"/>
                <w:color w:val="1B2A32"/>
                <w:sz w:val="15"/>
              </w:rPr>
              <w:t>Maharashtra</w:t>
            </w:r>
          </w:p>
        </w:tc>
        <w:tc>
          <w:tcPr>
            <w:tcW w:type="dxa" w:w="2160"/>
            <w:shd w:val="clear" w:fill="F3F7F9"/>
          </w:tcPr>
          <w:p>
            <w:r/>
            <w:r>
              <w:rPr>
                <w:rFonts w:ascii="Calibri" w:hAnsi="Calibri"/>
                <w:b w:val="0"/>
                <w:i w:val="0"/>
                <w:color w:val="1B2A32"/>
                <w:sz w:val="15"/>
              </w:rPr>
              <w:t>[article]</w:t>
            </w:r>
          </w:p>
        </w:tc>
        <w:tc>
          <w:tcPr>
            <w:tcW w:type="dxa" w:w="2016"/>
            <w:shd w:val="clear" w:fill="F3F7F9"/>
          </w:tcPr>
          <w:p>
            <w:r/>
            <w:r>
              <w:rPr>
                <w:rFonts w:ascii="Calibri" w:hAnsi="Calibri"/>
                <w:b w:val="0"/>
                <w:i w:val="0"/>
                <w:color w:val="1B2A32"/>
                <w:sz w:val="15"/>
              </w:rPr>
              <w:t>[₹ / %]</w:t>
            </w:r>
          </w:p>
        </w:tc>
        <w:tc>
          <w:tcPr>
            <w:tcW w:type="dxa" w:w="2016"/>
            <w:shd w:val="clear" w:fill="F3F7F9"/>
          </w:tcPr>
          <w:p>
            <w:r/>
            <w:r>
              <w:rPr>
                <w:rFonts w:ascii="Calibri" w:hAnsi="Calibri"/>
                <w:b w:val="0"/>
                <w:i w:val="0"/>
                <w:color w:val="1B2A32"/>
                <w:sz w:val="15"/>
              </w:rPr>
              <w:t>[₹ / %]</w:t>
            </w:r>
          </w:p>
        </w:tc>
        <w:tc>
          <w:tcPr>
            <w:tcW w:type="dxa" w:w="1296"/>
            <w:shd w:val="clear" w:fill="F3F7F9"/>
          </w:tcPr>
          <w:p>
            <w:r/>
            <w:r>
              <w:rPr>
                <w:rFonts w:ascii="Calibri" w:hAnsi="Calibri"/>
                <w:b w:val="0"/>
                <w:i w:val="0"/>
                <w:color w:val="1B2A32"/>
                <w:sz w:val="15"/>
              </w:rPr>
              <w:t>[Y/N]</w:t>
            </w:r>
          </w:p>
        </w:tc>
        <w:tc>
          <w:tcPr>
            <w:tcW w:type="dxa" w:w="1296"/>
            <w:shd w:val="clear" w:fill="F3F7F9"/>
          </w:tcPr>
          <w:p>
            <w:r/>
            <w:r>
              <w:rPr>
                <w:rFonts w:ascii="Calibri" w:hAnsi="Calibri"/>
                <w:b w:val="0"/>
                <w:i w:val="0"/>
                <w:color w:val="1B2A32"/>
                <w:sz w:val="15"/>
              </w:rPr>
              <w:t>[date]</w:t>
            </w:r>
          </w:p>
        </w:tc>
      </w:tr>
      <w:tr>
        <w:tc>
          <w:tcPr>
            <w:tcW w:type="dxa" w:w="1872"/>
          </w:tcPr>
          <w:p>
            <w:r/>
            <w:r>
              <w:rPr>
                <w:rFonts w:ascii="Calibri" w:hAnsi="Calibri"/>
                <w:b w:val="0"/>
                <w:i w:val="0"/>
                <w:color w:val="1B2A32"/>
                <w:sz w:val="15"/>
              </w:rPr>
              <w:t>Odisha</w:t>
            </w:r>
          </w:p>
        </w:tc>
        <w:tc>
          <w:tcPr>
            <w:tcW w:type="dxa" w:w="2160"/>
          </w:tcPr>
          <w:p>
            <w:r/>
            <w:r>
              <w:rPr>
                <w:rFonts w:ascii="Calibri" w:hAnsi="Calibri"/>
                <w:b w:val="0"/>
                <w:i w:val="0"/>
                <w:color w:val="1B2A32"/>
                <w:sz w:val="15"/>
              </w:rPr>
              <w:t>[article]</w:t>
            </w:r>
          </w:p>
        </w:tc>
        <w:tc>
          <w:tcPr>
            <w:tcW w:type="dxa" w:w="2016"/>
          </w:tcPr>
          <w:p>
            <w:r/>
            <w:r>
              <w:rPr>
                <w:rFonts w:ascii="Calibri" w:hAnsi="Calibri"/>
                <w:b w:val="0"/>
                <w:i w:val="0"/>
                <w:color w:val="1B2A32"/>
                <w:sz w:val="15"/>
              </w:rPr>
              <w:t>[₹ / %]</w:t>
            </w:r>
          </w:p>
        </w:tc>
        <w:tc>
          <w:tcPr>
            <w:tcW w:type="dxa" w:w="2016"/>
          </w:tcPr>
          <w:p>
            <w:r/>
            <w:r>
              <w:rPr>
                <w:rFonts w:ascii="Calibri" w:hAnsi="Calibri"/>
                <w:b w:val="0"/>
                <w:i w:val="0"/>
                <w:color w:val="1B2A32"/>
                <w:sz w:val="15"/>
              </w:rPr>
              <w:t>[₹ / %]</w:t>
            </w:r>
          </w:p>
        </w:tc>
        <w:tc>
          <w:tcPr>
            <w:tcW w:type="dxa" w:w="1296"/>
          </w:tcPr>
          <w:p>
            <w:r/>
            <w:r>
              <w:rPr>
                <w:rFonts w:ascii="Calibri" w:hAnsi="Calibri"/>
                <w:b w:val="0"/>
                <w:i w:val="0"/>
                <w:color w:val="1B2A32"/>
                <w:sz w:val="15"/>
              </w:rPr>
              <w:t>[Y/N]</w:t>
            </w:r>
          </w:p>
        </w:tc>
        <w:tc>
          <w:tcPr>
            <w:tcW w:type="dxa" w:w="1296"/>
          </w:tcPr>
          <w:p>
            <w:r/>
            <w:r>
              <w:rPr>
                <w:rFonts w:ascii="Calibri" w:hAnsi="Calibri"/>
                <w:b w:val="0"/>
                <w:i w:val="0"/>
                <w:color w:val="1B2A32"/>
                <w:sz w:val="15"/>
              </w:rPr>
              <w:t>[date]</w:t>
            </w:r>
          </w:p>
        </w:tc>
      </w:tr>
      <w:tr>
        <w:tc>
          <w:tcPr>
            <w:tcW w:type="dxa" w:w="1872"/>
            <w:shd w:val="clear" w:fill="F3F7F9"/>
          </w:tcPr>
          <w:p>
            <w:r/>
            <w:r>
              <w:rPr>
                <w:rFonts w:ascii="Calibri" w:hAnsi="Calibri"/>
                <w:b w:val="0"/>
                <w:i w:val="0"/>
                <w:color w:val="1B2A32"/>
                <w:sz w:val="15"/>
              </w:rPr>
              <w:t>Punjab</w:t>
            </w:r>
          </w:p>
        </w:tc>
        <w:tc>
          <w:tcPr>
            <w:tcW w:type="dxa" w:w="2160"/>
            <w:shd w:val="clear" w:fill="F3F7F9"/>
          </w:tcPr>
          <w:p>
            <w:r/>
            <w:r>
              <w:rPr>
                <w:rFonts w:ascii="Calibri" w:hAnsi="Calibri"/>
                <w:b w:val="0"/>
                <w:i w:val="0"/>
                <w:color w:val="1B2A32"/>
                <w:sz w:val="15"/>
              </w:rPr>
              <w:t>[article]</w:t>
            </w:r>
          </w:p>
        </w:tc>
        <w:tc>
          <w:tcPr>
            <w:tcW w:type="dxa" w:w="2016"/>
            <w:shd w:val="clear" w:fill="F3F7F9"/>
          </w:tcPr>
          <w:p>
            <w:r/>
            <w:r>
              <w:rPr>
                <w:rFonts w:ascii="Calibri" w:hAnsi="Calibri"/>
                <w:b w:val="0"/>
                <w:i w:val="0"/>
                <w:color w:val="1B2A32"/>
                <w:sz w:val="15"/>
              </w:rPr>
              <w:t>[₹ / %]</w:t>
            </w:r>
          </w:p>
        </w:tc>
        <w:tc>
          <w:tcPr>
            <w:tcW w:type="dxa" w:w="2016"/>
            <w:shd w:val="clear" w:fill="F3F7F9"/>
          </w:tcPr>
          <w:p>
            <w:r/>
            <w:r>
              <w:rPr>
                <w:rFonts w:ascii="Calibri" w:hAnsi="Calibri"/>
                <w:b w:val="0"/>
                <w:i w:val="0"/>
                <w:color w:val="1B2A32"/>
                <w:sz w:val="15"/>
              </w:rPr>
              <w:t>[₹ / %]</w:t>
            </w:r>
          </w:p>
        </w:tc>
        <w:tc>
          <w:tcPr>
            <w:tcW w:type="dxa" w:w="1296"/>
            <w:shd w:val="clear" w:fill="F3F7F9"/>
          </w:tcPr>
          <w:p>
            <w:r/>
            <w:r>
              <w:rPr>
                <w:rFonts w:ascii="Calibri" w:hAnsi="Calibri"/>
                <w:b w:val="0"/>
                <w:i w:val="0"/>
                <w:color w:val="1B2A32"/>
                <w:sz w:val="15"/>
              </w:rPr>
              <w:t>[Y/N]</w:t>
            </w:r>
          </w:p>
        </w:tc>
        <w:tc>
          <w:tcPr>
            <w:tcW w:type="dxa" w:w="1296"/>
            <w:shd w:val="clear" w:fill="F3F7F9"/>
          </w:tcPr>
          <w:p>
            <w:r/>
            <w:r>
              <w:rPr>
                <w:rFonts w:ascii="Calibri" w:hAnsi="Calibri"/>
                <w:b w:val="0"/>
                <w:i w:val="0"/>
                <w:color w:val="1B2A32"/>
                <w:sz w:val="15"/>
              </w:rPr>
              <w:t>[date]</w:t>
            </w:r>
          </w:p>
        </w:tc>
      </w:tr>
      <w:tr>
        <w:tc>
          <w:tcPr>
            <w:tcW w:type="dxa" w:w="1872"/>
          </w:tcPr>
          <w:p>
            <w:r/>
            <w:r>
              <w:rPr>
                <w:rFonts w:ascii="Calibri" w:hAnsi="Calibri"/>
                <w:b w:val="0"/>
                <w:i w:val="0"/>
                <w:color w:val="1B2A32"/>
                <w:sz w:val="15"/>
              </w:rPr>
              <w:t>Rajasthan</w:t>
            </w:r>
          </w:p>
        </w:tc>
        <w:tc>
          <w:tcPr>
            <w:tcW w:type="dxa" w:w="2160"/>
          </w:tcPr>
          <w:p>
            <w:r/>
            <w:r>
              <w:rPr>
                <w:rFonts w:ascii="Calibri" w:hAnsi="Calibri"/>
                <w:b w:val="0"/>
                <w:i w:val="0"/>
                <w:color w:val="1B2A32"/>
                <w:sz w:val="15"/>
              </w:rPr>
              <w:t>[article]</w:t>
            </w:r>
          </w:p>
        </w:tc>
        <w:tc>
          <w:tcPr>
            <w:tcW w:type="dxa" w:w="2016"/>
          </w:tcPr>
          <w:p>
            <w:r/>
            <w:r>
              <w:rPr>
                <w:rFonts w:ascii="Calibri" w:hAnsi="Calibri"/>
                <w:b w:val="0"/>
                <w:i w:val="0"/>
                <w:color w:val="1B2A32"/>
                <w:sz w:val="15"/>
              </w:rPr>
              <w:t>[₹ / %]</w:t>
            </w:r>
          </w:p>
        </w:tc>
        <w:tc>
          <w:tcPr>
            <w:tcW w:type="dxa" w:w="2016"/>
          </w:tcPr>
          <w:p>
            <w:r/>
            <w:r>
              <w:rPr>
                <w:rFonts w:ascii="Calibri" w:hAnsi="Calibri"/>
                <w:b w:val="0"/>
                <w:i w:val="0"/>
                <w:color w:val="1B2A32"/>
                <w:sz w:val="15"/>
              </w:rPr>
              <w:t>[₹ / %]</w:t>
            </w:r>
          </w:p>
        </w:tc>
        <w:tc>
          <w:tcPr>
            <w:tcW w:type="dxa" w:w="1296"/>
          </w:tcPr>
          <w:p>
            <w:r/>
            <w:r>
              <w:rPr>
                <w:rFonts w:ascii="Calibri" w:hAnsi="Calibri"/>
                <w:b w:val="0"/>
                <w:i w:val="0"/>
                <w:color w:val="1B2A32"/>
                <w:sz w:val="15"/>
              </w:rPr>
              <w:t>[Y/N]</w:t>
            </w:r>
          </w:p>
        </w:tc>
        <w:tc>
          <w:tcPr>
            <w:tcW w:type="dxa" w:w="1296"/>
          </w:tcPr>
          <w:p>
            <w:r/>
            <w:r>
              <w:rPr>
                <w:rFonts w:ascii="Calibri" w:hAnsi="Calibri"/>
                <w:b w:val="0"/>
                <w:i w:val="0"/>
                <w:color w:val="1B2A32"/>
                <w:sz w:val="15"/>
              </w:rPr>
              <w:t>[date]</w:t>
            </w:r>
          </w:p>
        </w:tc>
      </w:tr>
      <w:tr>
        <w:tc>
          <w:tcPr>
            <w:tcW w:type="dxa" w:w="1872"/>
            <w:shd w:val="clear" w:fill="F3F7F9"/>
          </w:tcPr>
          <w:p>
            <w:r/>
            <w:r>
              <w:rPr>
                <w:rFonts w:ascii="Calibri" w:hAnsi="Calibri"/>
                <w:b w:val="0"/>
                <w:i w:val="0"/>
                <w:color w:val="1B2A32"/>
                <w:sz w:val="15"/>
              </w:rPr>
              <w:t>Tamil Nadu</w:t>
            </w:r>
          </w:p>
        </w:tc>
        <w:tc>
          <w:tcPr>
            <w:tcW w:type="dxa" w:w="2160"/>
            <w:shd w:val="clear" w:fill="F3F7F9"/>
          </w:tcPr>
          <w:p>
            <w:r/>
            <w:r>
              <w:rPr>
                <w:rFonts w:ascii="Calibri" w:hAnsi="Calibri"/>
                <w:b w:val="0"/>
                <w:i w:val="0"/>
                <w:color w:val="1B2A32"/>
                <w:sz w:val="15"/>
              </w:rPr>
              <w:t>[article]</w:t>
            </w:r>
          </w:p>
        </w:tc>
        <w:tc>
          <w:tcPr>
            <w:tcW w:type="dxa" w:w="2016"/>
            <w:shd w:val="clear" w:fill="F3F7F9"/>
          </w:tcPr>
          <w:p>
            <w:r/>
            <w:r>
              <w:rPr>
                <w:rFonts w:ascii="Calibri" w:hAnsi="Calibri"/>
                <w:b w:val="0"/>
                <w:i w:val="0"/>
                <w:color w:val="1B2A32"/>
                <w:sz w:val="15"/>
              </w:rPr>
              <w:t>[₹ / %]</w:t>
            </w:r>
          </w:p>
        </w:tc>
        <w:tc>
          <w:tcPr>
            <w:tcW w:type="dxa" w:w="2016"/>
            <w:shd w:val="clear" w:fill="F3F7F9"/>
          </w:tcPr>
          <w:p>
            <w:r/>
            <w:r>
              <w:rPr>
                <w:rFonts w:ascii="Calibri" w:hAnsi="Calibri"/>
                <w:b w:val="0"/>
                <w:i w:val="0"/>
                <w:color w:val="1B2A32"/>
                <w:sz w:val="15"/>
              </w:rPr>
              <w:t>[₹ / %]</w:t>
            </w:r>
          </w:p>
        </w:tc>
        <w:tc>
          <w:tcPr>
            <w:tcW w:type="dxa" w:w="1296"/>
            <w:shd w:val="clear" w:fill="F3F7F9"/>
          </w:tcPr>
          <w:p>
            <w:r/>
            <w:r>
              <w:rPr>
                <w:rFonts w:ascii="Calibri" w:hAnsi="Calibri"/>
                <w:b w:val="0"/>
                <w:i w:val="0"/>
                <w:color w:val="1B2A32"/>
                <w:sz w:val="15"/>
              </w:rPr>
              <w:t>[Y/N]</w:t>
            </w:r>
          </w:p>
        </w:tc>
        <w:tc>
          <w:tcPr>
            <w:tcW w:type="dxa" w:w="1296"/>
            <w:shd w:val="clear" w:fill="F3F7F9"/>
          </w:tcPr>
          <w:p>
            <w:r/>
            <w:r>
              <w:rPr>
                <w:rFonts w:ascii="Calibri" w:hAnsi="Calibri"/>
                <w:b w:val="0"/>
                <w:i w:val="0"/>
                <w:color w:val="1B2A32"/>
                <w:sz w:val="15"/>
              </w:rPr>
              <w:t>[date]</w:t>
            </w:r>
          </w:p>
        </w:tc>
      </w:tr>
      <w:tr>
        <w:tc>
          <w:tcPr>
            <w:tcW w:type="dxa" w:w="1872"/>
          </w:tcPr>
          <w:p>
            <w:r/>
            <w:r>
              <w:rPr>
                <w:rFonts w:ascii="Calibri" w:hAnsi="Calibri"/>
                <w:b w:val="0"/>
                <w:i w:val="0"/>
                <w:color w:val="1B2A32"/>
                <w:sz w:val="15"/>
              </w:rPr>
              <w:t>Telangana</w:t>
            </w:r>
          </w:p>
        </w:tc>
        <w:tc>
          <w:tcPr>
            <w:tcW w:type="dxa" w:w="2160"/>
          </w:tcPr>
          <w:p>
            <w:r/>
            <w:r>
              <w:rPr>
                <w:rFonts w:ascii="Calibri" w:hAnsi="Calibri"/>
                <w:b w:val="0"/>
                <w:i w:val="0"/>
                <w:color w:val="1B2A32"/>
                <w:sz w:val="15"/>
              </w:rPr>
              <w:t>[article]</w:t>
            </w:r>
          </w:p>
        </w:tc>
        <w:tc>
          <w:tcPr>
            <w:tcW w:type="dxa" w:w="2016"/>
          </w:tcPr>
          <w:p>
            <w:r/>
            <w:r>
              <w:rPr>
                <w:rFonts w:ascii="Calibri" w:hAnsi="Calibri"/>
                <w:b w:val="0"/>
                <w:i w:val="0"/>
                <w:color w:val="1B2A32"/>
                <w:sz w:val="15"/>
              </w:rPr>
              <w:t>[₹ / %]</w:t>
            </w:r>
          </w:p>
        </w:tc>
        <w:tc>
          <w:tcPr>
            <w:tcW w:type="dxa" w:w="2016"/>
          </w:tcPr>
          <w:p>
            <w:r/>
            <w:r>
              <w:rPr>
                <w:rFonts w:ascii="Calibri" w:hAnsi="Calibri"/>
                <w:b w:val="0"/>
                <w:i w:val="0"/>
                <w:color w:val="1B2A32"/>
                <w:sz w:val="15"/>
              </w:rPr>
              <w:t>[₹ / %]</w:t>
            </w:r>
          </w:p>
        </w:tc>
        <w:tc>
          <w:tcPr>
            <w:tcW w:type="dxa" w:w="1296"/>
          </w:tcPr>
          <w:p>
            <w:r/>
            <w:r>
              <w:rPr>
                <w:rFonts w:ascii="Calibri" w:hAnsi="Calibri"/>
                <w:b w:val="0"/>
                <w:i w:val="0"/>
                <w:color w:val="1B2A32"/>
                <w:sz w:val="15"/>
              </w:rPr>
              <w:t>[Y/N]</w:t>
            </w:r>
          </w:p>
        </w:tc>
        <w:tc>
          <w:tcPr>
            <w:tcW w:type="dxa" w:w="1296"/>
          </w:tcPr>
          <w:p>
            <w:r/>
            <w:r>
              <w:rPr>
                <w:rFonts w:ascii="Calibri" w:hAnsi="Calibri"/>
                <w:b w:val="0"/>
                <w:i w:val="0"/>
                <w:color w:val="1B2A32"/>
                <w:sz w:val="15"/>
              </w:rPr>
              <w:t>[date]</w:t>
            </w:r>
          </w:p>
        </w:tc>
      </w:tr>
      <w:tr>
        <w:tc>
          <w:tcPr>
            <w:tcW w:type="dxa" w:w="1872"/>
            <w:shd w:val="clear" w:fill="F3F7F9"/>
          </w:tcPr>
          <w:p>
            <w:r/>
            <w:r>
              <w:rPr>
                <w:rFonts w:ascii="Calibri" w:hAnsi="Calibri"/>
                <w:b w:val="0"/>
                <w:i w:val="0"/>
                <w:color w:val="1B2A32"/>
                <w:sz w:val="15"/>
              </w:rPr>
              <w:t>Uttar Pradesh</w:t>
            </w:r>
          </w:p>
        </w:tc>
        <w:tc>
          <w:tcPr>
            <w:tcW w:type="dxa" w:w="2160"/>
            <w:shd w:val="clear" w:fill="F3F7F9"/>
          </w:tcPr>
          <w:p>
            <w:r/>
            <w:r>
              <w:rPr>
                <w:rFonts w:ascii="Calibri" w:hAnsi="Calibri"/>
                <w:b w:val="0"/>
                <w:i w:val="0"/>
                <w:color w:val="1B2A32"/>
                <w:sz w:val="15"/>
              </w:rPr>
              <w:t>[article]</w:t>
            </w:r>
          </w:p>
        </w:tc>
        <w:tc>
          <w:tcPr>
            <w:tcW w:type="dxa" w:w="2016"/>
            <w:shd w:val="clear" w:fill="F3F7F9"/>
          </w:tcPr>
          <w:p>
            <w:r/>
            <w:r>
              <w:rPr>
                <w:rFonts w:ascii="Calibri" w:hAnsi="Calibri"/>
                <w:b w:val="0"/>
                <w:i w:val="0"/>
                <w:color w:val="1B2A32"/>
                <w:sz w:val="15"/>
              </w:rPr>
              <w:t>[₹ / %]</w:t>
            </w:r>
          </w:p>
        </w:tc>
        <w:tc>
          <w:tcPr>
            <w:tcW w:type="dxa" w:w="2016"/>
            <w:shd w:val="clear" w:fill="F3F7F9"/>
          </w:tcPr>
          <w:p>
            <w:r/>
            <w:r>
              <w:rPr>
                <w:rFonts w:ascii="Calibri" w:hAnsi="Calibri"/>
                <w:b w:val="0"/>
                <w:i w:val="0"/>
                <w:color w:val="1B2A32"/>
                <w:sz w:val="15"/>
              </w:rPr>
              <w:t>[₹ / %]</w:t>
            </w:r>
          </w:p>
        </w:tc>
        <w:tc>
          <w:tcPr>
            <w:tcW w:type="dxa" w:w="1296"/>
            <w:shd w:val="clear" w:fill="F3F7F9"/>
          </w:tcPr>
          <w:p>
            <w:r/>
            <w:r>
              <w:rPr>
                <w:rFonts w:ascii="Calibri" w:hAnsi="Calibri"/>
                <w:b w:val="0"/>
                <w:i w:val="0"/>
                <w:color w:val="1B2A32"/>
                <w:sz w:val="15"/>
              </w:rPr>
              <w:t>[Y/N]</w:t>
            </w:r>
          </w:p>
        </w:tc>
        <w:tc>
          <w:tcPr>
            <w:tcW w:type="dxa" w:w="1296"/>
            <w:shd w:val="clear" w:fill="F3F7F9"/>
          </w:tcPr>
          <w:p>
            <w:r/>
            <w:r>
              <w:rPr>
                <w:rFonts w:ascii="Calibri" w:hAnsi="Calibri"/>
                <w:b w:val="0"/>
                <w:i w:val="0"/>
                <w:color w:val="1B2A32"/>
                <w:sz w:val="15"/>
              </w:rPr>
              <w:t>[date]</w:t>
            </w:r>
          </w:p>
        </w:tc>
      </w:tr>
      <w:tr>
        <w:tc>
          <w:tcPr>
            <w:tcW w:type="dxa" w:w="1872"/>
          </w:tcPr>
          <w:p>
            <w:r/>
            <w:r>
              <w:rPr>
                <w:rFonts w:ascii="Calibri" w:hAnsi="Calibri"/>
                <w:b w:val="0"/>
                <w:i w:val="0"/>
                <w:color w:val="1B2A32"/>
                <w:sz w:val="15"/>
              </w:rPr>
              <w:t>Uttarakhand</w:t>
            </w:r>
          </w:p>
        </w:tc>
        <w:tc>
          <w:tcPr>
            <w:tcW w:type="dxa" w:w="2160"/>
          </w:tcPr>
          <w:p>
            <w:r/>
            <w:r>
              <w:rPr>
                <w:rFonts w:ascii="Calibri" w:hAnsi="Calibri"/>
                <w:b w:val="0"/>
                <w:i w:val="0"/>
                <w:color w:val="1B2A32"/>
                <w:sz w:val="15"/>
              </w:rPr>
              <w:t>[article]</w:t>
            </w:r>
          </w:p>
        </w:tc>
        <w:tc>
          <w:tcPr>
            <w:tcW w:type="dxa" w:w="2016"/>
          </w:tcPr>
          <w:p>
            <w:r/>
            <w:r>
              <w:rPr>
                <w:rFonts w:ascii="Calibri" w:hAnsi="Calibri"/>
                <w:b w:val="0"/>
                <w:i w:val="0"/>
                <w:color w:val="1B2A32"/>
                <w:sz w:val="15"/>
              </w:rPr>
              <w:t>[₹ / %]</w:t>
            </w:r>
          </w:p>
        </w:tc>
        <w:tc>
          <w:tcPr>
            <w:tcW w:type="dxa" w:w="2016"/>
          </w:tcPr>
          <w:p>
            <w:r/>
            <w:r>
              <w:rPr>
                <w:rFonts w:ascii="Calibri" w:hAnsi="Calibri"/>
                <w:b w:val="0"/>
                <w:i w:val="0"/>
                <w:color w:val="1B2A32"/>
                <w:sz w:val="15"/>
              </w:rPr>
              <w:t>[₹ / %]</w:t>
            </w:r>
          </w:p>
        </w:tc>
        <w:tc>
          <w:tcPr>
            <w:tcW w:type="dxa" w:w="1296"/>
          </w:tcPr>
          <w:p>
            <w:r/>
            <w:r>
              <w:rPr>
                <w:rFonts w:ascii="Calibri" w:hAnsi="Calibri"/>
                <w:b w:val="0"/>
                <w:i w:val="0"/>
                <w:color w:val="1B2A32"/>
                <w:sz w:val="15"/>
              </w:rPr>
              <w:t>[Y/N]</w:t>
            </w:r>
          </w:p>
        </w:tc>
        <w:tc>
          <w:tcPr>
            <w:tcW w:type="dxa" w:w="1296"/>
          </w:tcPr>
          <w:p>
            <w:r/>
            <w:r>
              <w:rPr>
                <w:rFonts w:ascii="Calibri" w:hAnsi="Calibri"/>
                <w:b w:val="0"/>
                <w:i w:val="0"/>
                <w:color w:val="1B2A32"/>
                <w:sz w:val="15"/>
              </w:rPr>
              <w:t>[date]</w:t>
            </w:r>
          </w:p>
        </w:tc>
      </w:tr>
      <w:tr>
        <w:tc>
          <w:tcPr>
            <w:tcW w:type="dxa" w:w="1872"/>
            <w:shd w:val="clear" w:fill="F3F7F9"/>
          </w:tcPr>
          <w:p>
            <w:r/>
            <w:r>
              <w:rPr>
                <w:rFonts w:ascii="Calibri" w:hAnsi="Calibri"/>
                <w:b w:val="0"/>
                <w:i w:val="0"/>
                <w:color w:val="1B2A32"/>
                <w:sz w:val="15"/>
              </w:rPr>
              <w:t>West Bengal</w:t>
            </w:r>
          </w:p>
        </w:tc>
        <w:tc>
          <w:tcPr>
            <w:tcW w:type="dxa" w:w="2160"/>
            <w:shd w:val="clear" w:fill="F3F7F9"/>
          </w:tcPr>
          <w:p>
            <w:r/>
            <w:r>
              <w:rPr>
                <w:rFonts w:ascii="Calibri" w:hAnsi="Calibri"/>
                <w:b w:val="0"/>
                <w:i w:val="0"/>
                <w:color w:val="1B2A32"/>
                <w:sz w:val="15"/>
              </w:rPr>
              <w:t>[article]</w:t>
            </w:r>
          </w:p>
        </w:tc>
        <w:tc>
          <w:tcPr>
            <w:tcW w:type="dxa" w:w="2016"/>
            <w:shd w:val="clear" w:fill="F3F7F9"/>
          </w:tcPr>
          <w:p>
            <w:r/>
            <w:r>
              <w:rPr>
                <w:rFonts w:ascii="Calibri" w:hAnsi="Calibri"/>
                <w:b w:val="0"/>
                <w:i w:val="0"/>
                <w:color w:val="1B2A32"/>
                <w:sz w:val="15"/>
              </w:rPr>
              <w:t>[₹ / %]</w:t>
            </w:r>
          </w:p>
        </w:tc>
        <w:tc>
          <w:tcPr>
            <w:tcW w:type="dxa" w:w="2016"/>
            <w:shd w:val="clear" w:fill="F3F7F9"/>
          </w:tcPr>
          <w:p>
            <w:r/>
            <w:r>
              <w:rPr>
                <w:rFonts w:ascii="Calibri" w:hAnsi="Calibri"/>
                <w:b w:val="0"/>
                <w:i w:val="0"/>
                <w:color w:val="1B2A32"/>
                <w:sz w:val="15"/>
              </w:rPr>
              <w:t>[₹ / %]</w:t>
            </w:r>
          </w:p>
        </w:tc>
        <w:tc>
          <w:tcPr>
            <w:tcW w:type="dxa" w:w="1296"/>
            <w:shd w:val="clear" w:fill="F3F7F9"/>
          </w:tcPr>
          <w:p>
            <w:r/>
            <w:r>
              <w:rPr>
                <w:rFonts w:ascii="Calibri" w:hAnsi="Calibri"/>
                <w:b w:val="0"/>
                <w:i w:val="0"/>
                <w:color w:val="1B2A32"/>
                <w:sz w:val="15"/>
              </w:rPr>
              <w:t>[Y/N]</w:t>
            </w:r>
          </w:p>
        </w:tc>
        <w:tc>
          <w:tcPr>
            <w:tcW w:type="dxa" w:w="1296"/>
            <w:shd w:val="clear" w:fill="F3F7F9"/>
          </w:tcPr>
          <w:p>
            <w:r/>
            <w:r>
              <w:rPr>
                <w:rFonts w:ascii="Calibri" w:hAnsi="Calibri"/>
                <w:b w:val="0"/>
                <w:i w:val="0"/>
                <w:color w:val="1B2A32"/>
                <w:sz w:val="15"/>
              </w:rPr>
              <w:t>[date]</w:t>
            </w:r>
          </w:p>
        </w:tc>
      </w:tr>
    </w:tbl>
    <w:p>
      <w:pPr>
        <w:spacing w:after="40"/>
      </w:pPr>
    </w:p>
    <w:p>
      <w:pPr>
        <w:spacing w:after="120"/>
        <w:jc w:val="both"/>
      </w:pPr>
      <w:r>
        <w:rPr>
          <w:rFonts w:ascii="Calibri" w:hAnsi="Calibri"/>
          <w:b/>
          <w:i w:val="0"/>
          <w:color w:val="1B2A32"/>
          <w:sz w:val="21"/>
        </w:rPr>
        <w:t>Practice notes.</w:t>
      </w:r>
      <w:r>
        <w:rPr>
          <w:rFonts w:ascii="Calibri" w:hAnsi="Calibri"/>
          <w:b w:val="0"/>
          <w:i w:val="0"/>
          <w:color w:val="1B2A32"/>
          <w:sz w:val="21"/>
        </w:rPr>
        <w:t xml:space="preserve"> (a) A settlement that merely records terms may be stamped differently from one that operates as a conveyance — take advice on characterisation. (b) Where the MSA is registered under </w:t>
      </w:r>
      <w:r>
        <w:rPr>
          <w:rFonts w:ascii="Calibri" w:hAnsi="Calibri"/>
          <w:b/>
          <w:i w:val="0"/>
          <w:color w:val="1B2A32"/>
          <w:sz w:val="21"/>
        </w:rPr>
        <w:t>s.20 of the Mediation Act, 2023</w:t>
      </w:r>
      <w:r>
        <w:rPr>
          <w:rFonts w:ascii="Calibri" w:hAnsi="Calibri"/>
          <w:b w:val="0"/>
          <w:i w:val="0"/>
          <w:color w:val="1B2A32"/>
          <w:sz w:val="21"/>
        </w:rPr>
        <w:t>, confirm the registering authority's practice. (c) Where the settlement is filed in court and results in a decree, the decree's stamping and registration consequences differ — confirm locally. (d) e-Stamping availability (SHCIL or the State portal) varies; record the channel per State.</w:t>
      </w:r>
    </w:p>
    <w:p>
      <w:pPr>
        <w:keepNext/>
        <w:spacing w:before="280" w:after="120"/>
        <w:pBdr>
          <w:bottom w:val="single" w:sz="12" w:space="3" w:color="C6A15B"/>
        </w:pBdr>
      </w:pPr>
      <w:r>
        <w:rPr>
          <w:rFonts w:ascii="Calibri" w:hAnsi="Calibri"/>
          <w:b/>
          <w:i w:val="0"/>
          <w:color w:val="123B4F"/>
          <w:sz w:val="32"/>
        </w:rPr>
        <w:t>1.  Annexure 2 — Family courts &amp; legal-services authorities (template)</w:t>
      </w:r>
    </w:p>
    <w:p>
      <w:pPr>
        <w:spacing w:after="120"/>
        <w:jc w:val="both"/>
      </w:pPr>
      <w:r>
        <w:rPr>
          <w:rFonts w:ascii="Calibri" w:hAnsi="Calibri"/>
          <w:b w:val="0"/>
          <w:i w:val="0"/>
          <w:color w:val="1B2A32"/>
          <w:sz w:val="21"/>
        </w:rPr>
        <w:t>Maintain a live directory so a case manager can signpost accurately in minutes. Complete per district in which you operate.</w:t>
      </w:r>
    </w:p>
    <w:tbl>
      <w:tblPr>
        <w:tblStyle w:val="TableGrid"/>
        <w:tblW w:type="auto" w:w="0"/>
        <w:jc w:val="center"/>
        <w:tblLook w:firstColumn="1" w:firstRow="1" w:lastColumn="0" w:lastRow="0" w:noHBand="0" w:noVBand="1" w:val="04A0"/>
      </w:tblPr>
      <w:tblGrid>
        <w:gridCol w:w="4752"/>
        <w:gridCol w:w="4752"/>
      </w:tblGrid>
      <w:tr>
        <w:tc>
          <w:tcPr>
            <w:tcW w:type="dxa" w:w="2880"/>
            <w:shd w:val="clear" w:fill="123B4F"/>
          </w:tcPr>
          <w:p>
            <w:r/>
            <w:r>
              <w:rPr>
                <w:rFonts w:ascii="Calibri" w:hAnsi="Calibri"/>
                <w:b/>
                <w:i w:val="0"/>
                <w:color w:val="FFFFFF"/>
                <w:sz w:val="17"/>
              </w:rPr>
              <w:t>Field</w:t>
            </w:r>
          </w:p>
        </w:tc>
        <w:tc>
          <w:tcPr>
            <w:tcW w:type="dxa" w:w="6624"/>
            <w:shd w:val="clear" w:fill="123B4F"/>
          </w:tcPr>
          <w:p>
            <w:r/>
            <w:r>
              <w:rPr>
                <w:rFonts w:ascii="Calibri" w:hAnsi="Calibri"/>
                <w:b/>
                <w:i w:val="0"/>
                <w:color w:val="FFFFFF"/>
                <w:sz w:val="17"/>
              </w:rPr>
              <w:t>What to record</w:t>
            </w:r>
          </w:p>
        </w:tc>
      </w:tr>
      <w:tr>
        <w:tc>
          <w:tcPr>
            <w:tcW w:type="dxa" w:w="2880"/>
          </w:tcPr>
          <w:p>
            <w:r/>
            <w:r>
              <w:rPr>
                <w:rFonts w:ascii="Calibri" w:hAnsi="Calibri"/>
                <w:b w:val="0"/>
                <w:i w:val="0"/>
                <w:color w:val="1B2A32"/>
                <w:sz w:val="17"/>
              </w:rPr>
              <w:t>State / district</w:t>
            </w:r>
          </w:p>
        </w:tc>
        <w:tc>
          <w:tcPr>
            <w:tcW w:type="dxa" w:w="6624"/>
          </w:tcPr>
          <w:p>
            <w:r/>
            <w:r>
              <w:rPr>
                <w:rFonts w:ascii="Calibri" w:hAnsi="Calibri"/>
                <w:b w:val="0"/>
                <w:i w:val="0"/>
                <w:color w:val="1B2A32"/>
                <w:sz w:val="17"/>
              </w:rPr>
              <w:t>Jurisdiction covered</w:t>
            </w:r>
          </w:p>
        </w:tc>
      </w:tr>
      <w:tr>
        <w:tc>
          <w:tcPr>
            <w:tcW w:type="dxa" w:w="2880"/>
            <w:shd w:val="clear" w:fill="F3F7F9"/>
          </w:tcPr>
          <w:p>
            <w:r/>
            <w:r>
              <w:rPr>
                <w:rFonts w:ascii="Calibri" w:hAnsi="Calibri"/>
                <w:b w:val="0"/>
                <w:i w:val="0"/>
                <w:color w:val="1B2A32"/>
                <w:sz w:val="17"/>
              </w:rPr>
              <w:t>Family Court</w:t>
            </w:r>
          </w:p>
        </w:tc>
        <w:tc>
          <w:tcPr>
            <w:tcW w:type="dxa" w:w="6624"/>
            <w:shd w:val="clear" w:fill="F3F7F9"/>
          </w:tcPr>
          <w:p>
            <w:r/>
            <w:r>
              <w:rPr>
                <w:rFonts w:ascii="Calibri" w:hAnsi="Calibri"/>
                <w:b w:val="0"/>
                <w:i w:val="0"/>
                <w:color w:val="1B2A32"/>
                <w:sz w:val="17"/>
              </w:rPr>
              <w:t>Name, address, jurisdiction, e-filing portal, listing practice</w:t>
            </w:r>
          </w:p>
        </w:tc>
      </w:tr>
      <w:tr>
        <w:tc>
          <w:tcPr>
            <w:tcW w:type="dxa" w:w="2880"/>
          </w:tcPr>
          <w:p>
            <w:r/>
            <w:r>
              <w:rPr>
                <w:rFonts w:ascii="Calibri" w:hAnsi="Calibri"/>
                <w:b w:val="0"/>
                <w:i w:val="0"/>
                <w:color w:val="1B2A32"/>
                <w:sz w:val="17"/>
              </w:rPr>
              <w:t>Principal Judge / registry contact</w:t>
            </w:r>
          </w:p>
        </w:tc>
        <w:tc>
          <w:tcPr>
            <w:tcW w:type="dxa" w:w="6624"/>
          </w:tcPr>
          <w:p>
            <w:r/>
            <w:r>
              <w:rPr>
                <w:rFonts w:ascii="Calibri" w:hAnsi="Calibri"/>
                <w:b w:val="0"/>
                <w:i w:val="0"/>
                <w:color w:val="1B2A32"/>
                <w:sz w:val="17"/>
              </w:rPr>
              <w:t>Designation and official contact</w:t>
            </w:r>
          </w:p>
        </w:tc>
      </w:tr>
      <w:tr>
        <w:tc>
          <w:tcPr>
            <w:tcW w:type="dxa" w:w="2880"/>
            <w:shd w:val="clear" w:fill="F3F7F9"/>
          </w:tcPr>
          <w:p>
            <w:r/>
            <w:r>
              <w:rPr>
                <w:rFonts w:ascii="Calibri" w:hAnsi="Calibri"/>
                <w:b w:val="0"/>
                <w:i w:val="0"/>
                <w:color w:val="1B2A32"/>
                <w:sz w:val="17"/>
              </w:rPr>
              <w:t>Mediation centre attached to the court</w:t>
            </w:r>
          </w:p>
        </w:tc>
        <w:tc>
          <w:tcPr>
            <w:tcW w:type="dxa" w:w="6624"/>
            <w:shd w:val="clear" w:fill="F3F7F9"/>
          </w:tcPr>
          <w:p>
            <w:r/>
            <w:r>
              <w:rPr>
                <w:rFonts w:ascii="Calibri" w:hAnsi="Calibri"/>
                <w:b w:val="0"/>
                <w:i w:val="0"/>
                <w:color w:val="1B2A32"/>
                <w:sz w:val="17"/>
              </w:rPr>
              <w:t>Name, referral practice, panel arrangements</w:t>
            </w:r>
          </w:p>
        </w:tc>
      </w:tr>
      <w:tr>
        <w:tc>
          <w:tcPr>
            <w:tcW w:type="dxa" w:w="2880"/>
          </w:tcPr>
          <w:p>
            <w:r/>
            <w:r>
              <w:rPr>
                <w:rFonts w:ascii="Calibri" w:hAnsi="Calibri"/>
                <w:b w:val="0"/>
                <w:i w:val="0"/>
                <w:color w:val="1B2A32"/>
                <w:sz w:val="17"/>
              </w:rPr>
              <w:t>DLSA (District Legal Services Authority)</w:t>
            </w:r>
          </w:p>
        </w:tc>
        <w:tc>
          <w:tcPr>
            <w:tcW w:type="dxa" w:w="6624"/>
          </w:tcPr>
          <w:p>
            <w:r/>
            <w:r>
              <w:rPr>
                <w:rFonts w:ascii="Calibri" w:hAnsi="Calibri"/>
                <w:b w:val="0"/>
                <w:i w:val="0"/>
                <w:color w:val="1B2A32"/>
                <w:sz w:val="17"/>
              </w:rPr>
              <w:t>Secretary, address, legal-aid eligibility criteria, front-office contact</w:t>
            </w:r>
          </w:p>
        </w:tc>
      </w:tr>
      <w:tr>
        <w:tc>
          <w:tcPr>
            <w:tcW w:type="dxa" w:w="2880"/>
            <w:shd w:val="clear" w:fill="F3F7F9"/>
          </w:tcPr>
          <w:p>
            <w:r/>
            <w:r>
              <w:rPr>
                <w:rFonts w:ascii="Calibri" w:hAnsi="Calibri"/>
                <w:b w:val="0"/>
                <w:i w:val="0"/>
                <w:color w:val="1B2A32"/>
                <w:sz w:val="17"/>
              </w:rPr>
              <w:t>SLSA</w:t>
            </w:r>
          </w:p>
        </w:tc>
        <w:tc>
          <w:tcPr>
            <w:tcW w:type="dxa" w:w="6624"/>
            <w:shd w:val="clear" w:fill="F3F7F9"/>
          </w:tcPr>
          <w:p>
            <w:r/>
            <w:r>
              <w:rPr>
                <w:rFonts w:ascii="Calibri" w:hAnsi="Calibri"/>
                <w:b w:val="0"/>
                <w:i w:val="0"/>
                <w:color w:val="1B2A32"/>
                <w:sz w:val="17"/>
              </w:rPr>
              <w:t>State authority contact and schemes</w:t>
            </w:r>
          </w:p>
        </w:tc>
      </w:tr>
      <w:tr>
        <w:tc>
          <w:tcPr>
            <w:tcW w:type="dxa" w:w="2880"/>
          </w:tcPr>
          <w:p>
            <w:r/>
            <w:r>
              <w:rPr>
                <w:rFonts w:ascii="Calibri" w:hAnsi="Calibri"/>
                <w:b w:val="0"/>
                <w:i w:val="0"/>
                <w:color w:val="1B2A32"/>
                <w:sz w:val="17"/>
              </w:rPr>
              <w:t>Lok Adalat calendar</w:t>
            </w:r>
          </w:p>
        </w:tc>
        <w:tc>
          <w:tcPr>
            <w:tcW w:type="dxa" w:w="6624"/>
          </w:tcPr>
          <w:p>
            <w:r/>
            <w:r>
              <w:rPr>
                <w:rFonts w:ascii="Calibri" w:hAnsi="Calibri"/>
                <w:b w:val="0"/>
                <w:i w:val="0"/>
                <w:color w:val="1B2A32"/>
                <w:sz w:val="17"/>
              </w:rPr>
              <w:t>National and State Lok Adalat dates</w:t>
            </w:r>
          </w:p>
        </w:tc>
      </w:tr>
      <w:tr>
        <w:tc>
          <w:tcPr>
            <w:tcW w:type="dxa" w:w="2880"/>
            <w:shd w:val="clear" w:fill="F3F7F9"/>
          </w:tcPr>
          <w:p>
            <w:r/>
            <w:r>
              <w:rPr>
                <w:rFonts w:ascii="Calibri" w:hAnsi="Calibri"/>
                <w:b w:val="0"/>
                <w:i w:val="0"/>
                <w:color w:val="1B2A32"/>
                <w:sz w:val="17"/>
              </w:rPr>
              <w:t>Protection Officer (PWDVA)</w:t>
            </w:r>
          </w:p>
        </w:tc>
        <w:tc>
          <w:tcPr>
            <w:tcW w:type="dxa" w:w="6624"/>
            <w:shd w:val="clear" w:fill="F3F7F9"/>
          </w:tcPr>
          <w:p>
            <w:r/>
            <w:r>
              <w:rPr>
                <w:rFonts w:ascii="Calibri" w:hAnsi="Calibri"/>
                <w:b w:val="0"/>
                <w:i w:val="0"/>
                <w:color w:val="1B2A32"/>
                <w:sz w:val="17"/>
              </w:rPr>
              <w:t>District Protection Officer contact</w:t>
            </w:r>
          </w:p>
        </w:tc>
      </w:tr>
      <w:tr>
        <w:tc>
          <w:tcPr>
            <w:tcW w:type="dxa" w:w="2880"/>
          </w:tcPr>
          <w:p>
            <w:r/>
            <w:r>
              <w:rPr>
                <w:rFonts w:ascii="Calibri" w:hAnsi="Calibri"/>
                <w:b w:val="0"/>
                <w:i w:val="0"/>
                <w:color w:val="1B2A32"/>
                <w:sz w:val="17"/>
              </w:rPr>
              <w:t>Support services</w:t>
            </w:r>
          </w:p>
        </w:tc>
        <w:tc>
          <w:tcPr>
            <w:tcW w:type="dxa" w:w="6624"/>
          </w:tcPr>
          <w:p>
            <w:r/>
            <w:r>
              <w:rPr>
                <w:rFonts w:ascii="Calibri" w:hAnsi="Calibri"/>
                <w:b w:val="0"/>
                <w:i w:val="0"/>
                <w:color w:val="1B2A32"/>
                <w:sz w:val="17"/>
              </w:rPr>
              <w:t>Shelters, counselling, women's helplines, child-welfare committee</w:t>
            </w:r>
          </w:p>
        </w:tc>
      </w:tr>
      <w:tr>
        <w:tc>
          <w:tcPr>
            <w:tcW w:type="dxa" w:w="2880"/>
            <w:shd w:val="clear" w:fill="F3F7F9"/>
          </w:tcPr>
          <w:p>
            <w:r/>
            <w:r>
              <w:rPr>
                <w:rFonts w:ascii="Calibri" w:hAnsi="Calibri"/>
                <w:b w:val="0"/>
                <w:i w:val="0"/>
                <w:color w:val="1B2A32"/>
                <w:sz w:val="17"/>
              </w:rPr>
              <w:t>Local language(s)</w:t>
            </w:r>
          </w:p>
        </w:tc>
        <w:tc>
          <w:tcPr>
            <w:tcW w:type="dxa" w:w="6624"/>
            <w:shd w:val="clear" w:fill="F3F7F9"/>
          </w:tcPr>
          <w:p>
            <w:r/>
            <w:r>
              <w:rPr>
                <w:rFonts w:ascii="Calibri" w:hAnsi="Calibri"/>
                <w:b w:val="0"/>
                <w:i w:val="0"/>
                <w:color w:val="1B2A32"/>
                <w:sz w:val="17"/>
              </w:rPr>
              <w:t>For panel and material matching</w:t>
            </w:r>
          </w:p>
        </w:tc>
      </w:tr>
      <w:tr>
        <w:tc>
          <w:tcPr>
            <w:tcW w:type="dxa" w:w="2880"/>
          </w:tcPr>
          <w:p>
            <w:r/>
            <w:r>
              <w:rPr>
                <w:rFonts w:ascii="Calibri" w:hAnsi="Calibri"/>
                <w:b w:val="0"/>
                <w:i w:val="0"/>
                <w:color w:val="1B2A32"/>
                <w:sz w:val="17"/>
              </w:rPr>
              <w:t>Verified on / by</w:t>
            </w:r>
          </w:p>
        </w:tc>
        <w:tc>
          <w:tcPr>
            <w:tcW w:type="dxa" w:w="6624"/>
          </w:tcPr>
          <w:p>
            <w:r/>
            <w:r>
              <w:rPr>
                <w:rFonts w:ascii="Calibri" w:hAnsi="Calibri"/>
                <w:b w:val="0"/>
                <w:i w:val="0"/>
                <w:color w:val="1B2A32"/>
                <w:sz w:val="17"/>
              </w:rPr>
              <w:t>Date and owner</w:t>
            </w:r>
          </w:p>
        </w:tc>
      </w:tr>
    </w:tbl>
    <w:p>
      <w:pPr>
        <w:spacing w:after="40"/>
      </w:pP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Keep it alive</w:t>
            </w:r>
          </w:p>
          <w:p>
            <w:r>
              <w:rPr>
                <w:rFonts w:ascii="Calibri" w:hAnsi="Calibri"/>
                <w:b w:val="0"/>
                <w:i w:val="0"/>
                <w:color w:val="1B2A32"/>
                <w:sz w:val="19"/>
              </w:rPr>
              <w:t>A stale directory is worse than none — a party signposted to a wrong address in a crisis loses trust immediately. Assign an owner and re-verify every six months.</w:t>
            </w:r>
          </w:p>
        </w:tc>
      </w:tr>
    </w:tbl>
    <w:p>
      <w:pPr>
        <w:spacing w:after="40"/>
      </w:pPr>
    </w:p>
    <w:p>
      <w:pPr>
        <w:keepNext/>
        <w:spacing w:before="280" w:after="120"/>
        <w:pBdr>
          <w:bottom w:val="single" w:sz="12" w:space="3" w:color="C6A15B"/>
        </w:pBdr>
      </w:pPr>
      <w:r>
        <w:rPr>
          <w:rFonts w:ascii="Calibri" w:hAnsi="Calibri"/>
          <w:b/>
          <w:i w:val="0"/>
          <w:color w:val="123B4F"/>
          <w:sz w:val="32"/>
        </w:rPr>
        <w:t>2.  Annexure 3 — Expanded model clause library</w:t>
      </w:r>
    </w:p>
    <w:p>
      <w:pPr>
        <w:spacing w:after="120"/>
        <w:jc w:val="both"/>
      </w:pPr>
      <w:r>
        <w:rPr>
          <w:rFonts w:ascii="Calibri" w:hAnsi="Calibri"/>
          <w:b w:val="0"/>
          <w:i w:val="0"/>
          <w:color w:val="1B2A32"/>
          <w:sz w:val="21"/>
        </w:rPr>
        <w:t xml:space="preserve">The library below expands the earlier set. Each clause is a </w:t>
      </w:r>
      <w:r>
        <w:rPr>
          <w:rFonts w:ascii="Calibri" w:hAnsi="Calibri"/>
          <w:b/>
          <w:i w:val="0"/>
          <w:color w:val="1B2A32"/>
          <w:sz w:val="21"/>
        </w:rPr>
        <w:t>drafting starting point</w:t>
      </w:r>
      <w:r>
        <w:rPr>
          <w:rFonts w:ascii="Calibri" w:hAnsi="Calibri"/>
          <w:b w:val="0"/>
          <w:i w:val="0"/>
          <w:color w:val="1B2A32"/>
          <w:sz w:val="21"/>
        </w:rPr>
        <w:t>: adapt to the facts and have counsel settle it. Clauses are grouped so a mediator can assemble an MSA quickly without losing precision.</w:t>
      </w:r>
    </w:p>
    <w:p>
      <w:pPr>
        <w:keepNext/>
        <w:spacing w:before="200" w:after="60"/>
      </w:pPr>
      <w:r>
        <w:rPr>
          <w:rFonts w:ascii="Calibri" w:hAnsi="Calibri"/>
          <w:b/>
          <w:i w:val="0"/>
          <w:color w:val="1E7A8C"/>
          <w:sz w:val="25"/>
        </w:rPr>
        <w:t>A. Process &amp; reference</w:t>
      </w:r>
    </w:p>
    <w:p>
      <w:pPr>
        <w:spacing w:after="80"/>
        <w:jc w:val="both"/>
      </w:pPr>
      <w:r>
        <w:rPr>
          <w:rFonts w:ascii="Calibri" w:hAnsi="Calibri"/>
          <w:b/>
          <w:i w:val="0"/>
          <w:color w:val="1B2A32"/>
          <w:sz w:val="21"/>
        </w:rPr>
        <w:t>A1 Agreement to mediate (pre-dispute).</w:t>
      </w:r>
      <w:r>
        <w:rPr>
          <w:rFonts w:ascii="Calibri" w:hAnsi="Calibri"/>
          <w:b w:val="0"/>
          <w:i w:val="0"/>
          <w:color w:val="1B2A32"/>
          <w:sz w:val="21"/>
        </w:rPr>
        <w:t xml:space="preserve">  “Any dispute arising out of the marriage or its breakdown shall first be referred to mediation administered by Equator Resolution under its Rules of Mediation.”</w:t>
      </w:r>
    </w:p>
    <w:p>
      <w:pPr>
        <w:spacing w:after="80"/>
        <w:jc w:val="both"/>
      </w:pPr>
      <w:r>
        <w:rPr>
          <w:rFonts w:ascii="Calibri" w:hAnsi="Calibri"/>
          <w:b/>
          <w:i w:val="0"/>
          <w:color w:val="1B2A32"/>
          <w:sz w:val="21"/>
        </w:rPr>
        <w:t>A2 Post-dispute submission.</w:t>
      </w:r>
      <w:r>
        <w:rPr>
          <w:rFonts w:ascii="Calibri" w:hAnsi="Calibri"/>
          <w:b w:val="0"/>
          <w:i w:val="0"/>
          <w:color w:val="1B2A32"/>
          <w:sz w:val="21"/>
        </w:rPr>
        <w:t xml:space="preserve">  “The parties refer the disputes described in the Schedule to mediation administered by Equator Resolution under its Rules.”</w:t>
      </w:r>
    </w:p>
    <w:p>
      <w:pPr>
        <w:spacing w:after="80"/>
        <w:jc w:val="both"/>
      </w:pPr>
      <w:r>
        <w:rPr>
          <w:rFonts w:ascii="Calibri" w:hAnsi="Calibri"/>
          <w:b/>
          <w:i w:val="0"/>
          <w:color w:val="1B2A32"/>
          <w:sz w:val="21"/>
        </w:rPr>
        <w:t>A3 Court-referred reference.</w:t>
      </w:r>
      <w:r>
        <w:rPr>
          <w:rFonts w:ascii="Calibri" w:hAnsi="Calibri"/>
          <w:b w:val="0"/>
          <w:i w:val="0"/>
          <w:color w:val="1B2A32"/>
          <w:sz w:val="21"/>
        </w:rPr>
        <w:t xml:space="preserve">  “This matter is referred by the Court to Equator Resolution under section 89 of the Code of Civil Procedure, 1908 / the Family Courts Act, 1984, and shall be administered under the Equator Rules.”</w:t>
      </w:r>
    </w:p>
    <w:p>
      <w:pPr>
        <w:spacing w:after="80"/>
        <w:jc w:val="both"/>
      </w:pPr>
      <w:r>
        <w:rPr>
          <w:rFonts w:ascii="Calibri" w:hAnsi="Calibri"/>
          <w:b/>
          <w:i w:val="0"/>
          <w:color w:val="1B2A32"/>
          <w:sz w:val="21"/>
        </w:rPr>
        <w:t>A4 Med-then-adjudicate escalation.</w:t>
      </w:r>
      <w:r>
        <w:rPr>
          <w:rFonts w:ascii="Calibri" w:hAnsi="Calibri"/>
          <w:b w:val="0"/>
          <w:i w:val="0"/>
          <w:color w:val="1B2A32"/>
          <w:sz w:val="21"/>
        </w:rPr>
        <w:t xml:space="preserve">  “If the mediation does not resolve the dispute within [•] days, either party may pursue any remedy available in law; nothing said in the mediation may be relied on.”</w:t>
      </w:r>
    </w:p>
    <w:p>
      <w:pPr>
        <w:keepNext/>
        <w:spacing w:before="200" w:after="60"/>
      </w:pPr>
      <w:r>
        <w:rPr>
          <w:rFonts w:ascii="Calibri" w:hAnsi="Calibri"/>
          <w:b/>
          <w:i w:val="0"/>
          <w:color w:val="1E7A8C"/>
          <w:sz w:val="25"/>
        </w:rPr>
        <w:t>B. Confidentiality &amp; conduct</w:t>
      </w:r>
    </w:p>
    <w:p>
      <w:pPr>
        <w:spacing w:after="80"/>
        <w:jc w:val="both"/>
      </w:pPr>
      <w:r>
        <w:rPr>
          <w:rFonts w:ascii="Calibri" w:hAnsi="Calibri"/>
          <w:b/>
          <w:i w:val="0"/>
          <w:color w:val="1B2A32"/>
          <w:sz w:val="21"/>
        </w:rPr>
        <w:t>B1 Confidentiality.</w:t>
      </w:r>
      <w:r>
        <w:rPr>
          <w:rFonts w:ascii="Calibri" w:hAnsi="Calibri"/>
          <w:b w:val="0"/>
          <w:i w:val="0"/>
          <w:color w:val="1B2A32"/>
          <w:sz w:val="21"/>
        </w:rPr>
        <w:t xml:space="preserve">  “The mediation and all communications made for its purpose are confidential and without prejudice under section 22 of the Mediation Act, 2023, and shall not be disclosed or relied upon in any proceeding, save this Agreement and as the law requires.”</w:t>
      </w:r>
    </w:p>
    <w:p>
      <w:pPr>
        <w:spacing w:after="80"/>
        <w:jc w:val="both"/>
      </w:pPr>
      <w:r>
        <w:rPr>
          <w:rFonts w:ascii="Calibri" w:hAnsi="Calibri"/>
          <w:b/>
          <w:i w:val="0"/>
          <w:color w:val="1B2A32"/>
          <w:sz w:val="21"/>
        </w:rPr>
        <w:t>B2 Caucus confidentiality.</w:t>
      </w:r>
      <w:r>
        <w:rPr>
          <w:rFonts w:ascii="Calibri" w:hAnsi="Calibri"/>
          <w:b w:val="0"/>
          <w:i w:val="0"/>
          <w:color w:val="1B2A32"/>
          <w:sz w:val="21"/>
        </w:rPr>
        <w:t xml:space="preserve">  “Information given to the mediator in a private session shall not be disclosed to the other party without express permission.”</w:t>
      </w:r>
    </w:p>
    <w:p>
      <w:pPr>
        <w:spacing w:after="80"/>
        <w:jc w:val="both"/>
      </w:pPr>
      <w:r>
        <w:rPr>
          <w:rFonts w:ascii="Calibri" w:hAnsi="Calibri"/>
          <w:b/>
          <w:i w:val="0"/>
          <w:color w:val="1B2A32"/>
          <w:sz w:val="21"/>
        </w:rPr>
        <w:t>B3 Non-disparagement.</w:t>
      </w:r>
      <w:r>
        <w:rPr>
          <w:rFonts w:ascii="Calibri" w:hAnsi="Calibri"/>
          <w:b w:val="0"/>
          <w:i w:val="0"/>
          <w:color w:val="1B2A32"/>
          <w:sz w:val="21"/>
        </w:rPr>
        <w:t xml:space="preserve">  “Neither party shall make or publish any statement disparaging the other, including on social media, and neither shall discuss the dispute with the child.”</w:t>
      </w:r>
    </w:p>
    <w:p>
      <w:pPr>
        <w:spacing w:after="80"/>
        <w:jc w:val="both"/>
      </w:pPr>
      <w:r>
        <w:rPr>
          <w:rFonts w:ascii="Calibri" w:hAnsi="Calibri"/>
          <w:b/>
          <w:i w:val="0"/>
          <w:color w:val="1B2A32"/>
          <w:sz w:val="21"/>
        </w:rPr>
        <w:t>B4 No recording.</w:t>
      </w:r>
      <w:r>
        <w:rPr>
          <w:rFonts w:ascii="Calibri" w:hAnsi="Calibri"/>
          <w:b w:val="0"/>
          <w:i w:val="0"/>
          <w:color w:val="1B2A32"/>
          <w:sz w:val="21"/>
        </w:rPr>
        <w:t xml:space="preserve">  “No party shall record any part of the mediation without the written consent of both parties and the mediator.”</w:t>
      </w:r>
    </w:p>
    <w:p>
      <w:pPr>
        <w:keepNext/>
        <w:spacing w:before="200" w:after="60"/>
      </w:pPr>
      <w:r>
        <w:rPr>
          <w:rFonts w:ascii="Calibri" w:hAnsi="Calibri"/>
          <w:b/>
          <w:i w:val="0"/>
          <w:color w:val="1E7A8C"/>
          <w:sz w:val="25"/>
        </w:rPr>
        <w:t>C. Children &amp; parenting</w:t>
      </w:r>
    </w:p>
    <w:p>
      <w:pPr>
        <w:spacing w:after="80"/>
        <w:jc w:val="both"/>
      </w:pPr>
      <w:r>
        <w:rPr>
          <w:rFonts w:ascii="Calibri" w:hAnsi="Calibri"/>
          <w:b/>
          <w:i w:val="0"/>
          <w:color w:val="1B2A32"/>
          <w:sz w:val="21"/>
        </w:rPr>
        <w:t>C1 Parenting plan (core).</w:t>
      </w:r>
      <w:r>
        <w:rPr>
          <w:rFonts w:ascii="Calibri" w:hAnsi="Calibri"/>
          <w:b w:val="0"/>
          <w:i w:val="0"/>
          <w:color w:val="1B2A32"/>
          <w:sz w:val="21"/>
        </w:rPr>
        <w:t xml:space="preserve">  “The child shall reside primarily with [•]. The other parent shall have [•] contact, in accordance with the schedule at Annexure [•], which the parties shall review every [•] months.”</w:t>
      </w:r>
    </w:p>
    <w:p>
      <w:pPr>
        <w:spacing w:after="80"/>
        <w:jc w:val="both"/>
      </w:pPr>
      <w:r>
        <w:rPr>
          <w:rFonts w:ascii="Calibri" w:hAnsi="Calibri"/>
          <w:b/>
          <w:i w:val="0"/>
          <w:color w:val="1B2A32"/>
          <w:sz w:val="21"/>
        </w:rPr>
        <w:t>C2 Holidays &amp; festivals.</w:t>
      </w:r>
      <w:r>
        <w:rPr>
          <w:rFonts w:ascii="Calibri" w:hAnsi="Calibri"/>
          <w:b w:val="0"/>
          <w:i w:val="0"/>
          <w:color w:val="1B2A32"/>
          <w:sz w:val="21"/>
        </w:rPr>
        <w:t xml:space="preserve">  “School holidays and festivals shall be shared as set out in Annexure [•], alternating annually, with travel arrangements as specified.”</w:t>
      </w:r>
    </w:p>
    <w:p>
      <w:pPr>
        <w:spacing w:after="80"/>
        <w:jc w:val="both"/>
      </w:pPr>
      <w:r>
        <w:rPr>
          <w:rFonts w:ascii="Calibri" w:hAnsi="Calibri"/>
          <w:b/>
          <w:i w:val="0"/>
          <w:color w:val="1B2A32"/>
          <w:sz w:val="21"/>
        </w:rPr>
        <w:t>C3 Decision-making.</w:t>
      </w:r>
      <w:r>
        <w:rPr>
          <w:rFonts w:ascii="Calibri" w:hAnsi="Calibri"/>
          <w:b w:val="0"/>
          <w:i w:val="0"/>
          <w:color w:val="1B2A32"/>
          <w:sz w:val="21"/>
        </w:rPr>
        <w:t xml:space="preserve">  “Major decisions concerning the child's education, health and religion shall be taken jointly, with [•] to decide in the event of disagreement after consultation.”</w:t>
      </w:r>
    </w:p>
    <w:p>
      <w:pPr>
        <w:spacing w:after="80"/>
        <w:jc w:val="both"/>
      </w:pPr>
      <w:r>
        <w:rPr>
          <w:rFonts w:ascii="Calibri" w:hAnsi="Calibri"/>
          <w:b/>
          <w:i w:val="0"/>
          <w:color w:val="1B2A32"/>
          <w:sz w:val="21"/>
        </w:rPr>
        <w:t>C4 Communication about the child.</w:t>
      </w:r>
      <w:r>
        <w:rPr>
          <w:rFonts w:ascii="Calibri" w:hAnsi="Calibri"/>
          <w:b w:val="0"/>
          <w:i w:val="0"/>
          <w:color w:val="1B2A32"/>
          <w:sz w:val="21"/>
        </w:rPr>
        <w:t xml:space="preserve">  “The parties shall communicate about the child only through [•], shall not use the child as a messenger, and shall not discuss these terms with the child.”</w:t>
      </w:r>
    </w:p>
    <w:p>
      <w:pPr>
        <w:spacing w:after="80"/>
        <w:jc w:val="both"/>
      </w:pPr>
      <w:r>
        <w:rPr>
          <w:rFonts w:ascii="Calibri" w:hAnsi="Calibri"/>
          <w:b/>
          <w:i w:val="0"/>
          <w:color w:val="1B2A32"/>
          <w:sz w:val="21"/>
        </w:rPr>
        <w:t>C5 Relocation.</w:t>
      </w:r>
      <w:r>
        <w:rPr>
          <w:rFonts w:ascii="Calibri" w:hAnsi="Calibri"/>
          <w:b w:val="0"/>
          <w:i w:val="0"/>
          <w:color w:val="1B2A32"/>
          <w:sz w:val="21"/>
        </w:rPr>
        <w:t xml:space="preserve">  “Neither parent shall relocate the child's residence beyond [•] without the other's written consent or an order of court, and shall give [•] days' notice of any intended change.”</w:t>
      </w:r>
    </w:p>
    <w:p>
      <w:pPr>
        <w:spacing w:after="80"/>
        <w:jc w:val="both"/>
      </w:pPr>
      <w:r>
        <w:rPr>
          <w:rFonts w:ascii="Calibri" w:hAnsi="Calibri"/>
          <w:b/>
          <w:i w:val="0"/>
          <w:color w:val="1B2A32"/>
          <w:sz w:val="21"/>
        </w:rPr>
        <w:t>C6 Review &amp; re-mediation.</w:t>
      </w:r>
      <w:r>
        <w:rPr>
          <w:rFonts w:ascii="Calibri" w:hAnsi="Calibri"/>
          <w:b w:val="0"/>
          <w:i w:val="0"/>
          <w:color w:val="1B2A32"/>
          <w:sz w:val="21"/>
        </w:rPr>
        <w:t xml:space="preserve">  “If a party wishes to vary the parenting arrangements, they shall first refer the matter back to mediation at Equator before applying to court.”</w:t>
      </w:r>
    </w:p>
    <w:p>
      <w:pPr>
        <w:spacing w:after="80"/>
        <w:jc w:val="both"/>
      </w:pPr>
      <w:r>
        <w:rPr>
          <w:rFonts w:ascii="Calibri" w:hAnsi="Calibri"/>
          <w:b/>
          <w:i w:val="0"/>
          <w:color w:val="1B2A32"/>
          <w:sz w:val="21"/>
        </w:rPr>
        <w:t>C7 Child's voice.</w:t>
      </w:r>
      <w:r>
        <w:rPr>
          <w:rFonts w:ascii="Calibri" w:hAnsi="Calibri"/>
          <w:b w:val="0"/>
          <w:i w:val="0"/>
          <w:color w:val="1B2A32"/>
          <w:sz w:val="21"/>
        </w:rPr>
        <w:t xml:space="preserve">  “The parties acknowledge the child's views were conveyed through child-inclusive mediation and that the child bears no responsibility for these terms.”</w:t>
      </w:r>
    </w:p>
    <w:p>
      <w:pPr>
        <w:keepNext/>
        <w:spacing w:before="200" w:after="60"/>
      </w:pPr>
      <w:r>
        <w:rPr>
          <w:rFonts w:ascii="Calibri" w:hAnsi="Calibri"/>
          <w:b/>
          <w:i w:val="0"/>
          <w:color w:val="1E7A8C"/>
          <w:sz w:val="25"/>
        </w:rPr>
        <w:t>D. Maintenance &amp; money</w:t>
      </w:r>
    </w:p>
    <w:p>
      <w:pPr>
        <w:spacing w:after="80"/>
        <w:jc w:val="both"/>
      </w:pPr>
      <w:r>
        <w:rPr>
          <w:rFonts w:ascii="Calibri" w:hAnsi="Calibri"/>
          <w:b/>
          <w:i w:val="0"/>
          <w:color w:val="1B2A32"/>
          <w:sz w:val="21"/>
        </w:rPr>
        <w:t>D1 Spousal maintenance.</w:t>
      </w:r>
      <w:r>
        <w:rPr>
          <w:rFonts w:ascii="Calibri" w:hAnsi="Calibri"/>
          <w:b w:val="0"/>
          <w:i w:val="0"/>
          <w:color w:val="1B2A32"/>
          <w:sz w:val="21"/>
        </w:rPr>
        <w:t xml:space="preserve">  “[Party] shall pay [Party] maintenance of ₹[•] per month, payable by the [•] day of each month by bank transfer to the account at Annexure [•].”</w:t>
      </w:r>
    </w:p>
    <w:p>
      <w:pPr>
        <w:spacing w:after="80"/>
        <w:jc w:val="both"/>
      </w:pPr>
      <w:r>
        <w:rPr>
          <w:rFonts w:ascii="Calibri" w:hAnsi="Calibri"/>
          <w:b/>
          <w:i w:val="0"/>
          <w:color w:val="1B2A32"/>
          <w:sz w:val="21"/>
        </w:rPr>
        <w:t>D2 Child maintenance.</w:t>
      </w:r>
      <w:r>
        <w:rPr>
          <w:rFonts w:ascii="Calibri" w:hAnsi="Calibri"/>
          <w:b w:val="0"/>
          <w:i w:val="0"/>
          <w:color w:val="1B2A32"/>
          <w:sz w:val="21"/>
        </w:rPr>
        <w:t xml:space="preserve">  “[Party] shall pay ₹[•] per month per child until the child attains [•] / completes education, together with [school fees / medical expenses] as specified.”</w:t>
      </w:r>
    </w:p>
    <w:p>
      <w:pPr>
        <w:spacing w:after="80"/>
        <w:jc w:val="both"/>
      </w:pPr>
      <w:r>
        <w:rPr>
          <w:rFonts w:ascii="Calibri" w:hAnsi="Calibri"/>
          <w:b/>
          <w:i w:val="0"/>
          <w:color w:val="1B2A32"/>
          <w:sz w:val="21"/>
        </w:rPr>
        <w:t>D3 Indexation &amp; review.</w:t>
      </w:r>
      <w:r>
        <w:rPr>
          <w:rFonts w:ascii="Calibri" w:hAnsi="Calibri"/>
          <w:b w:val="0"/>
          <w:i w:val="0"/>
          <w:color w:val="1B2A32"/>
          <w:sz w:val="21"/>
        </w:rPr>
        <w:t xml:space="preserve">  “The maintenance shall increase by [•]% annually / shall be reviewed every [•] years, and may be varied by agreement or in law on a material change of circumstances.”</w:t>
      </w:r>
    </w:p>
    <w:p>
      <w:pPr>
        <w:spacing w:after="80"/>
        <w:jc w:val="both"/>
      </w:pPr>
      <w:r>
        <w:rPr>
          <w:rFonts w:ascii="Calibri" w:hAnsi="Calibri"/>
          <w:b/>
          <w:i w:val="0"/>
          <w:color w:val="1B2A32"/>
          <w:sz w:val="21"/>
        </w:rPr>
        <w:t>D4 Lump-sum settlement.</w:t>
      </w:r>
      <w:r>
        <w:rPr>
          <w:rFonts w:ascii="Calibri" w:hAnsi="Calibri"/>
          <w:b w:val="0"/>
          <w:i w:val="0"/>
          <w:color w:val="1B2A32"/>
          <w:sz w:val="21"/>
        </w:rPr>
        <w:t xml:space="preserve">  “In full and final settlement of all claims to maintenance, [Party] shall pay ₹[•] as set out in the payment schedule at Annexure [•].”</w:t>
      </w:r>
    </w:p>
    <w:p>
      <w:pPr>
        <w:spacing w:after="80"/>
        <w:jc w:val="both"/>
      </w:pPr>
      <w:r>
        <w:rPr>
          <w:rFonts w:ascii="Calibri" w:hAnsi="Calibri"/>
          <w:b/>
          <w:i w:val="0"/>
          <w:color w:val="1B2A32"/>
          <w:sz w:val="21"/>
        </w:rPr>
        <w:t>D5 Security for payment.</w:t>
      </w:r>
      <w:r>
        <w:rPr>
          <w:rFonts w:ascii="Calibri" w:hAnsi="Calibri"/>
          <w:b w:val="0"/>
          <w:i w:val="0"/>
          <w:color w:val="1B2A32"/>
          <w:sz w:val="21"/>
        </w:rPr>
        <w:t xml:space="preserve">  “The obligations at [•] shall be secured by [escrow / post-dated instruments / charge], on the terms at Annexure [•].”</w:t>
      </w:r>
    </w:p>
    <w:p>
      <w:pPr>
        <w:spacing w:after="80"/>
        <w:jc w:val="both"/>
      </w:pPr>
      <w:r>
        <w:rPr>
          <w:rFonts w:ascii="Calibri" w:hAnsi="Calibri"/>
          <w:b/>
          <w:i w:val="0"/>
          <w:color w:val="1B2A32"/>
          <w:sz w:val="21"/>
        </w:rPr>
        <w:t>D6 Default.</w:t>
      </w:r>
      <w:r>
        <w:rPr>
          <w:rFonts w:ascii="Calibri" w:hAnsi="Calibri"/>
          <w:b w:val="0"/>
          <w:i w:val="0"/>
          <w:color w:val="1B2A32"/>
          <w:sz w:val="21"/>
        </w:rPr>
        <w:t xml:space="preserve">  “On default continuing beyond [•] days, the entire balance shall become due, and the aggrieved party may enforce this Agreement as a decree under section 27 of the Mediation Act, 2023.”</w:t>
      </w:r>
    </w:p>
    <w:p>
      <w:pPr>
        <w:keepNext/>
        <w:spacing w:before="200" w:after="60"/>
      </w:pPr>
      <w:r>
        <w:rPr>
          <w:rFonts w:ascii="Calibri" w:hAnsi="Calibri"/>
          <w:b/>
          <w:i w:val="0"/>
          <w:color w:val="1E7A8C"/>
          <w:sz w:val="25"/>
        </w:rPr>
        <w:t>E. Property &amp; assets</w:t>
      </w:r>
    </w:p>
    <w:p>
      <w:pPr>
        <w:spacing w:after="80"/>
        <w:jc w:val="both"/>
      </w:pPr>
      <w:r>
        <w:rPr>
          <w:rFonts w:ascii="Calibri" w:hAnsi="Calibri"/>
          <w:b/>
          <w:i w:val="0"/>
          <w:color w:val="1B2A32"/>
          <w:sz w:val="21"/>
        </w:rPr>
        <w:t>E1 Matrimonial home.</w:t>
      </w:r>
      <w:r>
        <w:rPr>
          <w:rFonts w:ascii="Calibri" w:hAnsi="Calibri"/>
          <w:b w:val="0"/>
          <w:i w:val="0"/>
          <w:color w:val="1B2A32"/>
          <w:sz w:val="21"/>
        </w:rPr>
        <w:t xml:space="preserve">  “The property at [•] shall be [sold / retained by •]; net proceeds shall be divided [•]:[•] after discharge of the loan at [•].”</w:t>
      </w:r>
    </w:p>
    <w:p>
      <w:pPr>
        <w:spacing w:after="80"/>
        <w:jc w:val="both"/>
      </w:pPr>
      <w:r>
        <w:rPr>
          <w:rFonts w:ascii="Calibri" w:hAnsi="Calibri"/>
          <w:b/>
          <w:i w:val="0"/>
          <w:color w:val="1B2A32"/>
          <w:sz w:val="21"/>
        </w:rPr>
        <w:t>E2 Stridhan &amp; personal effects.</w:t>
      </w:r>
      <w:r>
        <w:rPr>
          <w:rFonts w:ascii="Calibri" w:hAnsi="Calibri"/>
          <w:b w:val="0"/>
          <w:i w:val="0"/>
          <w:color w:val="1B2A32"/>
          <w:sz w:val="21"/>
        </w:rPr>
        <w:t xml:space="preserve">  “[Party] shall return the items listed at Annexure [•] on or before [•], and the parties acknowledge full return of all stridhan and personal effects thereafter.”</w:t>
      </w:r>
    </w:p>
    <w:p>
      <w:pPr>
        <w:spacing w:after="80"/>
        <w:jc w:val="both"/>
      </w:pPr>
      <w:r>
        <w:rPr>
          <w:rFonts w:ascii="Calibri" w:hAnsi="Calibri"/>
          <w:b/>
          <w:i w:val="0"/>
          <w:color w:val="1B2A32"/>
          <w:sz w:val="21"/>
        </w:rPr>
        <w:t>E3 Joint accounts &amp; liabilities.</w:t>
      </w:r>
      <w:r>
        <w:rPr>
          <w:rFonts w:ascii="Calibri" w:hAnsi="Calibri"/>
          <w:b w:val="0"/>
          <w:i w:val="0"/>
          <w:color w:val="1B2A32"/>
          <w:sz w:val="21"/>
        </w:rPr>
        <w:t xml:space="preserve">  “Joint accounts at [•] shall be closed by [•]; each party shall be solely responsible for the liabilities listed against their name at Annexure [•] and shall indemnify the other.”</w:t>
      </w:r>
    </w:p>
    <w:p>
      <w:pPr>
        <w:spacing w:after="80"/>
        <w:jc w:val="both"/>
      </w:pPr>
      <w:r>
        <w:rPr>
          <w:rFonts w:ascii="Calibri" w:hAnsi="Calibri"/>
          <w:b/>
          <w:i w:val="0"/>
          <w:color w:val="1B2A32"/>
          <w:sz w:val="21"/>
        </w:rPr>
        <w:t>E4 Vehicles &amp; moveables.</w:t>
      </w:r>
      <w:r>
        <w:rPr>
          <w:rFonts w:ascii="Calibri" w:hAnsi="Calibri"/>
          <w:b w:val="0"/>
          <w:i w:val="0"/>
          <w:color w:val="1B2A32"/>
          <w:sz w:val="21"/>
        </w:rPr>
        <w:t xml:space="preserve">  “Ownership of [•] shall vest in [•], who shall complete transfer formalities within [•] days at their own cost.”</w:t>
      </w:r>
    </w:p>
    <w:p>
      <w:pPr>
        <w:spacing w:after="80"/>
        <w:jc w:val="both"/>
      </w:pPr>
      <w:r>
        <w:rPr>
          <w:rFonts w:ascii="Calibri" w:hAnsi="Calibri"/>
          <w:b/>
          <w:i w:val="0"/>
          <w:color w:val="1B2A32"/>
          <w:sz w:val="21"/>
        </w:rPr>
        <w:t>E5 Insurance &amp; nominations.</w:t>
      </w:r>
      <w:r>
        <w:rPr>
          <w:rFonts w:ascii="Calibri" w:hAnsi="Calibri"/>
          <w:b w:val="0"/>
          <w:i w:val="0"/>
          <w:color w:val="1B2A32"/>
          <w:sz w:val="21"/>
        </w:rPr>
        <w:t xml:space="preserve">  “Each party shall update nominations on insurance, provident fund and investments within [•] days, save in respect of the child, where [•].”</w:t>
      </w:r>
    </w:p>
    <w:p>
      <w:pPr>
        <w:keepNext/>
        <w:spacing w:before="200" w:after="60"/>
      </w:pPr>
      <w:r>
        <w:rPr>
          <w:rFonts w:ascii="Calibri" w:hAnsi="Calibri"/>
          <w:b/>
          <w:i w:val="0"/>
          <w:color w:val="1E7A8C"/>
          <w:sz w:val="25"/>
        </w:rPr>
        <w:t>F. Status, proceedings &amp; release</w:t>
      </w:r>
    </w:p>
    <w:p>
      <w:pPr>
        <w:spacing w:after="80"/>
        <w:jc w:val="both"/>
      </w:pPr>
      <w:r>
        <w:rPr>
          <w:rFonts w:ascii="Calibri" w:hAnsi="Calibri"/>
          <w:b/>
          <w:i w:val="0"/>
          <w:color w:val="1B2A32"/>
          <w:sz w:val="21"/>
        </w:rPr>
        <w:t>F1 Mutual-consent divorce.</w:t>
      </w:r>
      <w:r>
        <w:rPr>
          <w:rFonts w:ascii="Calibri" w:hAnsi="Calibri"/>
          <w:b w:val="0"/>
          <w:i w:val="0"/>
          <w:color w:val="1B2A32"/>
          <w:sz w:val="21"/>
        </w:rPr>
        <w:t xml:space="preserve">  “The parties shall jointly present a petition for divorce by mutual consent and shall cooperate in the first and second motions; neither shall withdraw consent save for cause.”</w:t>
      </w:r>
    </w:p>
    <w:p>
      <w:pPr>
        <w:spacing w:after="80"/>
        <w:jc w:val="both"/>
      </w:pPr>
      <w:r>
        <w:rPr>
          <w:rFonts w:ascii="Calibri" w:hAnsi="Calibri"/>
          <w:b/>
          <w:i w:val="0"/>
          <w:color w:val="1B2A32"/>
          <w:sz w:val="21"/>
        </w:rPr>
        <w:t>F2 Withdrawal of proceedings.</w:t>
      </w:r>
      <w:r>
        <w:rPr>
          <w:rFonts w:ascii="Calibri" w:hAnsi="Calibri"/>
          <w:b w:val="0"/>
          <w:i w:val="0"/>
          <w:color w:val="1B2A32"/>
          <w:sz w:val="21"/>
        </w:rPr>
        <w:t xml:space="preserve">  “Each party shall withdraw the proceedings listed at Annexure [•] within [•] days of this Agreement, and shall not initiate fresh proceedings on the same cause.”</w:t>
      </w:r>
    </w:p>
    <w:p>
      <w:pPr>
        <w:spacing w:after="80"/>
        <w:jc w:val="both"/>
      </w:pPr>
      <w:r>
        <w:rPr>
          <w:rFonts w:ascii="Calibri" w:hAnsi="Calibri"/>
          <w:b/>
          <w:i w:val="0"/>
          <w:color w:val="1B2A32"/>
          <w:sz w:val="21"/>
        </w:rPr>
        <w:t>F3 Criminal complaints.</w:t>
      </w:r>
      <w:r>
        <w:rPr>
          <w:rFonts w:ascii="Calibri" w:hAnsi="Calibri"/>
          <w:b w:val="0"/>
          <w:i w:val="0"/>
          <w:color w:val="1B2A32"/>
          <w:sz w:val="21"/>
        </w:rPr>
        <w:t xml:space="preserve">  “The parties acknowledge that the compounding, withdrawal or quashing of any criminal proceeding is a matter for the court alone; each shall place this Agreement before the appropriate court and shall not oppose the other's application.”</w:t>
      </w:r>
    </w:p>
    <w:p>
      <w:pPr>
        <w:spacing w:after="80"/>
        <w:jc w:val="both"/>
      </w:pPr>
      <w:r>
        <w:rPr>
          <w:rFonts w:ascii="Calibri" w:hAnsi="Calibri"/>
          <w:b/>
          <w:i w:val="0"/>
          <w:color w:val="1B2A32"/>
          <w:sz w:val="21"/>
        </w:rPr>
        <w:t>F4 Full and final release.</w:t>
      </w:r>
      <w:r>
        <w:rPr>
          <w:rFonts w:ascii="Calibri" w:hAnsi="Calibri"/>
          <w:b w:val="0"/>
          <w:i w:val="0"/>
          <w:color w:val="1B2A32"/>
          <w:sz w:val="21"/>
        </w:rPr>
        <w:t xml:space="preserve">  “Save for the obligations in this Agreement, each party releases the other from all claims arising out of the marriage, including maintenance, property and stridhan.”</w:t>
      </w:r>
    </w:p>
    <w:p>
      <w:pPr>
        <w:spacing w:after="80"/>
        <w:jc w:val="both"/>
      </w:pPr>
      <w:r>
        <w:rPr>
          <w:rFonts w:ascii="Calibri" w:hAnsi="Calibri"/>
          <w:b/>
          <w:i w:val="0"/>
          <w:color w:val="1B2A32"/>
          <w:sz w:val="21"/>
        </w:rPr>
        <w:t>F5 Independent legal advice.</w:t>
      </w:r>
      <w:r>
        <w:rPr>
          <w:rFonts w:ascii="Calibri" w:hAnsi="Calibri"/>
          <w:b w:val="0"/>
          <w:i w:val="0"/>
          <w:color w:val="1B2A32"/>
          <w:sz w:val="21"/>
        </w:rPr>
        <w:t xml:space="preserve">  “Each party confirms they have had the opportunity to obtain independent legal advice and enters this Agreement freely, without coercion.”</w:t>
      </w:r>
    </w:p>
    <w:p>
      <w:pPr>
        <w:keepNext/>
        <w:spacing w:before="200" w:after="60"/>
      </w:pPr>
      <w:r>
        <w:rPr>
          <w:rFonts w:ascii="Calibri" w:hAnsi="Calibri"/>
          <w:b/>
          <w:i w:val="0"/>
          <w:color w:val="1E7A8C"/>
          <w:sz w:val="25"/>
        </w:rPr>
        <w:t>G. Execution &amp; enforcement</w:t>
      </w:r>
    </w:p>
    <w:p>
      <w:pPr>
        <w:spacing w:after="80"/>
        <w:jc w:val="both"/>
      </w:pPr>
      <w:r>
        <w:rPr>
          <w:rFonts w:ascii="Calibri" w:hAnsi="Calibri"/>
          <w:b/>
          <w:i w:val="0"/>
          <w:color w:val="1B2A32"/>
          <w:sz w:val="21"/>
        </w:rPr>
        <w:t>G1 Enforceability.</w:t>
      </w:r>
      <w:r>
        <w:rPr>
          <w:rFonts w:ascii="Calibri" w:hAnsi="Calibri"/>
          <w:b w:val="0"/>
          <w:i w:val="0"/>
          <w:color w:val="1B2A32"/>
          <w:sz w:val="21"/>
        </w:rPr>
        <w:t xml:space="preserve">  “This is a mediated settlement agreement under the Mediation Act, 2023, and is enforceable as a judgment or decree of court under section 27.”</w:t>
      </w:r>
    </w:p>
    <w:p>
      <w:pPr>
        <w:spacing w:after="80"/>
        <w:jc w:val="both"/>
      </w:pPr>
      <w:r>
        <w:rPr>
          <w:rFonts w:ascii="Calibri" w:hAnsi="Calibri"/>
          <w:b/>
          <w:i w:val="0"/>
          <w:color w:val="1B2A32"/>
          <w:sz w:val="21"/>
        </w:rPr>
        <w:t>G2 Registration.</w:t>
      </w:r>
      <w:r>
        <w:rPr>
          <w:rFonts w:ascii="Calibri" w:hAnsi="Calibri"/>
          <w:b w:val="0"/>
          <w:i w:val="0"/>
          <w:color w:val="1B2A32"/>
          <w:sz w:val="21"/>
        </w:rPr>
        <w:t xml:space="preserve">  “The parties shall register this Agreement under section 20 of the Mediation Act, 2023 within the prescribed period, and shall share the cost equally.”</w:t>
      </w:r>
    </w:p>
    <w:p>
      <w:pPr>
        <w:spacing w:after="80"/>
        <w:jc w:val="both"/>
      </w:pPr>
      <w:r>
        <w:rPr>
          <w:rFonts w:ascii="Calibri" w:hAnsi="Calibri"/>
          <w:b/>
          <w:i w:val="0"/>
          <w:color w:val="1B2A32"/>
          <w:sz w:val="21"/>
        </w:rPr>
        <w:t>G3 Electronic execution.</w:t>
      </w:r>
      <w:r>
        <w:rPr>
          <w:rFonts w:ascii="Calibri" w:hAnsi="Calibri"/>
          <w:b w:val="0"/>
          <w:i w:val="0"/>
          <w:color w:val="1B2A32"/>
          <w:sz w:val="21"/>
        </w:rPr>
        <w:t xml:space="preserve">  “This Agreement may be executed by Aadhaar e-Sign and stamped electronically, and shall be as valid as a physical instrument.”</w:t>
      </w:r>
    </w:p>
    <w:p>
      <w:pPr>
        <w:spacing w:after="80"/>
        <w:jc w:val="both"/>
      </w:pPr>
      <w:r>
        <w:rPr>
          <w:rFonts w:ascii="Calibri" w:hAnsi="Calibri"/>
          <w:b/>
          <w:i w:val="0"/>
          <w:color w:val="1B2A32"/>
          <w:sz w:val="21"/>
        </w:rPr>
        <w:t>G4 Escrow.</w:t>
      </w:r>
      <w:r>
        <w:rPr>
          <w:rFonts w:ascii="Calibri" w:hAnsi="Calibri"/>
          <w:b w:val="0"/>
          <w:i w:val="0"/>
          <w:color w:val="1B2A32"/>
          <w:sz w:val="21"/>
        </w:rPr>
        <w:t xml:space="preserve">  “The sums at [•] shall be deposited with the escrow agent and released against the milestones at Annexure [•].”</w:t>
      </w:r>
    </w:p>
    <w:p>
      <w:pPr>
        <w:spacing w:after="80"/>
        <w:jc w:val="both"/>
      </w:pPr>
      <w:r>
        <w:rPr>
          <w:rFonts w:ascii="Calibri" w:hAnsi="Calibri"/>
          <w:b/>
          <w:i w:val="0"/>
          <w:color w:val="1B2A32"/>
          <w:sz w:val="21"/>
        </w:rPr>
        <w:t>G5 Severability &amp; entire agreement.</w:t>
      </w:r>
      <w:r>
        <w:rPr>
          <w:rFonts w:ascii="Calibri" w:hAnsi="Calibri"/>
          <w:b w:val="0"/>
          <w:i w:val="0"/>
          <w:color w:val="1B2A32"/>
          <w:sz w:val="21"/>
        </w:rPr>
        <w:t xml:space="preserve">  “If any term is unenforceable the remainder shall stand; this Agreement records the entire settlement between the parties.”</w:t>
      </w:r>
    </w:p>
    <w:p>
      <w:pPr>
        <w:spacing w:after="80"/>
        <w:jc w:val="both"/>
      </w:pPr>
      <w:r>
        <w:rPr>
          <w:rFonts w:ascii="Calibri" w:hAnsi="Calibri"/>
          <w:b/>
          <w:i w:val="0"/>
          <w:color w:val="1B2A32"/>
          <w:sz w:val="21"/>
        </w:rPr>
        <w:t>G6 Variation.</w:t>
      </w:r>
      <w:r>
        <w:rPr>
          <w:rFonts w:ascii="Calibri" w:hAnsi="Calibri"/>
          <w:b w:val="0"/>
          <w:i w:val="0"/>
          <w:color w:val="1B2A32"/>
          <w:sz w:val="21"/>
        </w:rPr>
        <w:t xml:space="preserve">  “No variation shall be effective unless in writing and signed by both parties, or recorded in a further mediated settlement.”</w:t>
      </w:r>
    </w:p>
    <w:p>
      <w:pPr>
        <w:spacing w:after="40"/>
        <w:jc w:val="both"/>
      </w:pPr>
      <w:r>
        <w:rPr>
          <w:rFonts w:ascii="Calibri" w:hAnsi="Calibri"/>
          <w:b w:val="0"/>
          <w:i w:val="0"/>
          <w:color w:val="1B2A32"/>
          <w:sz w:val="21"/>
        </w:rPr>
        <w:t xml:space="preserve">Clause count in this library: </w:t>
      </w:r>
      <w:r>
        <w:rPr>
          <w:rFonts w:ascii="Calibri" w:hAnsi="Calibri"/>
          <w:b/>
          <w:i w:val="0"/>
          <w:color w:val="1B2A32"/>
          <w:sz w:val="21"/>
        </w:rPr>
        <w:t>35</w:t>
      </w:r>
      <w:r>
        <w:rPr>
          <w:rFonts w:ascii="Calibri" w:hAnsi="Calibri"/>
          <w:b w:val="0"/>
          <w:i w:val="0"/>
          <w:color w:val="1B2A32"/>
          <w:sz w:val="21"/>
        </w:rPr>
        <w:t>, across seven groups. These are templates only; adapt and have counsel settle them. Nothing here is legal advice.</w:t>
      </w: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Family &amp; Marital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165D9E9-B702-44BE-B66D-D8C0F863B16F}"/>
</file>

<file path=customXml/itemProps3.xml><?xml version="1.0" encoding="utf-8"?>
<ds:datastoreItem xmlns:ds="http://schemas.openxmlformats.org/officeDocument/2006/customXml" ds:itemID="{03A4E5DC-5AC1-41EC-8EE4-D3DBEA39E2AD}"/>
</file>

<file path=customXml/itemProps4.xml><?xml version="1.0" encoding="utf-8"?>
<ds:datastoreItem xmlns:ds="http://schemas.openxmlformats.org/officeDocument/2006/customXml" ds:itemID="{F7D8F8AE-0A71-410D-8B65-21F3FBEAB5A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