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Family Mediation</w:t>
      </w:r>
    </w:p>
    <w:p>
      <w:pPr>
        <w:pBdr>
          <w:top w:val="single" w:sz="14" w:space="6" w:color="C6A15B"/>
          <w:bottom w:val="single" w:sz="14" w:space="6" w:color="C6A15B"/>
        </w:pBdr>
      </w:pPr>
    </w:p>
    <w:p>
      <w:pPr>
        <w:spacing w:before="600"/>
        <w:jc w:val="center"/>
      </w:pPr>
      <w:r>
        <w:rPr>
          <w:rFonts w:ascii="Calibri" w:hAnsi="Calibri"/>
          <w:b/>
          <w:i w:val="0"/>
          <w:color w:val="123B4F"/>
          <w:sz w:val="48"/>
        </w:rPr>
        <w:t>Family Practice Guides</w:t>
      </w:r>
    </w:p>
    <w:p>
      <w:pPr>
        <w:jc w:val="center"/>
      </w:pPr>
      <w:r>
        <w:rPr>
          <w:rFonts w:ascii="Calibri" w:hAnsi="Calibri"/>
          <w:b w:val="0"/>
          <w:i/>
          <w:color w:val="556168"/>
          <w:sz w:val="25"/>
        </w:rPr>
        <w:t>Regime-wise, safety and specialist playbooks for family mediators</w:t>
      </w:r>
    </w:p>
    <w:p/>
    <w:p/>
    <w:p/>
    <w:p/>
    <w:p/>
    <w:p/>
    <w:p/>
    <w:p/>
    <w:p>
      <w:pPr>
        <w:jc w:val="center"/>
      </w:pPr>
      <w:r>
        <w:rPr>
          <w:rFonts w:ascii="Calibri" w:hAnsi="Calibri"/>
          <w:b/>
          <w:i w:val="0"/>
          <w:color w:val="1E7A8C"/>
          <w:sz w:val="22"/>
        </w:rPr>
        <w:t>Family &amp; Marital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Using these guides</w:t>
      </w:r>
    </w:p>
    <w:p>
      <w:pPr>
        <w:spacing w:after="120"/>
        <w:jc w:val="both"/>
      </w:pPr>
      <w:r>
        <w:rPr>
          <w:rFonts w:ascii="Calibri" w:hAnsi="Calibri"/>
          <w:b w:val="0"/>
          <w:i w:val="0"/>
          <w:color w:val="1B2A32"/>
          <w:sz w:val="21"/>
        </w:rPr>
        <w:t>The Master Blueprint sets out the framework; these are the working playbooks. Each notes what actually differs, the levers that move a settlement, and the traps that make one collapse later.</w:t>
      </w:r>
    </w:p>
    <w:p>
      <w:pPr>
        <w:keepNext/>
        <w:spacing w:before="280" w:after="120"/>
        <w:pBdr>
          <w:bottom w:val="single" w:sz="12" w:space="3" w:color="C6A15B"/>
        </w:pBdr>
      </w:pPr>
      <w:r>
        <w:rPr>
          <w:rFonts w:ascii="Calibri" w:hAnsi="Calibri"/>
          <w:b/>
          <w:i w:val="0"/>
          <w:color w:val="123B4F"/>
          <w:sz w:val="32"/>
        </w:rPr>
        <w:t>1.  Guide 1 — Personal-law regimes: what actually differs</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728"/>
            <w:shd w:val="clear" w:fill="123B4F"/>
          </w:tcPr>
          <w:p>
            <w:r/>
            <w:r>
              <w:rPr>
                <w:rFonts w:ascii="Calibri" w:hAnsi="Calibri"/>
                <w:b/>
                <w:i w:val="0"/>
                <w:color w:val="FFFFFF"/>
                <w:sz w:val="15"/>
              </w:rPr>
              <w:t>Regime</w:t>
            </w:r>
          </w:p>
        </w:tc>
        <w:tc>
          <w:tcPr>
            <w:tcW w:type="dxa" w:w="2160"/>
            <w:shd w:val="clear" w:fill="123B4F"/>
          </w:tcPr>
          <w:p>
            <w:r/>
            <w:r>
              <w:rPr>
                <w:rFonts w:ascii="Calibri" w:hAnsi="Calibri"/>
                <w:b/>
                <w:i w:val="0"/>
                <w:color w:val="FFFFFF"/>
                <w:sz w:val="15"/>
              </w:rPr>
              <w:t>Divorce route</w:t>
            </w:r>
          </w:p>
        </w:tc>
        <w:tc>
          <w:tcPr>
            <w:tcW w:type="dxa" w:w="1872"/>
            <w:shd w:val="clear" w:fill="123B4F"/>
          </w:tcPr>
          <w:p>
            <w:r/>
            <w:r>
              <w:rPr>
                <w:rFonts w:ascii="Calibri" w:hAnsi="Calibri"/>
                <w:b/>
                <w:i w:val="0"/>
                <w:color w:val="FFFFFF"/>
                <w:sz w:val="15"/>
              </w:rPr>
              <w:t>Maintenance</w:t>
            </w:r>
          </w:p>
        </w:tc>
        <w:tc>
          <w:tcPr>
            <w:tcW w:type="dxa" w:w="1728"/>
            <w:shd w:val="clear" w:fill="123B4F"/>
          </w:tcPr>
          <w:p>
            <w:r/>
            <w:r>
              <w:rPr>
                <w:rFonts w:ascii="Calibri" w:hAnsi="Calibri"/>
                <w:b/>
                <w:i w:val="0"/>
                <w:color w:val="FFFFFF"/>
                <w:sz w:val="15"/>
              </w:rPr>
              <w:t>Custody</w:t>
            </w:r>
          </w:p>
        </w:tc>
        <w:tc>
          <w:tcPr>
            <w:tcW w:type="dxa" w:w="2592"/>
            <w:shd w:val="clear" w:fill="123B4F"/>
          </w:tcPr>
          <w:p>
            <w:r/>
            <w:r>
              <w:rPr>
                <w:rFonts w:ascii="Calibri" w:hAnsi="Calibri"/>
                <w:b/>
                <w:i w:val="0"/>
                <w:color w:val="FFFFFF"/>
                <w:sz w:val="15"/>
              </w:rPr>
              <w:t>Watch-points for the mediator</w:t>
            </w:r>
          </w:p>
        </w:tc>
      </w:tr>
      <w:tr>
        <w:tc>
          <w:tcPr>
            <w:tcW w:type="dxa" w:w="1728"/>
          </w:tcPr>
          <w:p>
            <w:r/>
            <w:r>
              <w:rPr>
                <w:rFonts w:ascii="Calibri" w:hAnsi="Calibri"/>
                <w:b/>
                <w:i w:val="0"/>
                <w:color w:val="1B2A32"/>
                <w:sz w:val="15"/>
              </w:rPr>
              <w:t>Hindu</w:t>
            </w:r>
            <w:r>
              <w:rPr>
                <w:rFonts w:ascii="Calibri" w:hAnsi="Calibri"/>
                <w:b w:val="0"/>
                <w:i w:val="0"/>
                <w:color w:val="1B2A32"/>
                <w:sz w:val="15"/>
              </w:rPr>
              <w:t xml:space="preserve"> (HMA 1955)</w:t>
            </w:r>
          </w:p>
        </w:tc>
        <w:tc>
          <w:tcPr>
            <w:tcW w:type="dxa" w:w="2160"/>
          </w:tcPr>
          <w:p>
            <w:r/>
            <w:r>
              <w:rPr>
                <w:rFonts w:ascii="Calibri" w:hAnsi="Calibri"/>
                <w:b w:val="0"/>
                <w:i w:val="0"/>
                <w:color w:val="1B2A32"/>
                <w:sz w:val="15"/>
              </w:rPr>
              <w:t>Mutual consent (s.13B) with first and second motions; contested grounds</w:t>
            </w:r>
          </w:p>
        </w:tc>
        <w:tc>
          <w:tcPr>
            <w:tcW w:type="dxa" w:w="1872"/>
          </w:tcPr>
          <w:p>
            <w:r/>
            <w:r>
              <w:rPr>
                <w:rFonts w:ascii="Calibri" w:hAnsi="Calibri"/>
                <w:b w:val="0"/>
                <w:i w:val="0"/>
                <w:color w:val="1B2A32"/>
                <w:sz w:val="15"/>
              </w:rPr>
              <w:t>s.24/25; also BNSS s.144</w:t>
            </w:r>
          </w:p>
        </w:tc>
        <w:tc>
          <w:tcPr>
            <w:tcW w:type="dxa" w:w="1728"/>
          </w:tcPr>
          <w:p>
            <w:r/>
            <w:r>
              <w:rPr>
                <w:rFonts w:ascii="Calibri" w:hAnsi="Calibri"/>
                <w:b w:val="0"/>
                <w:i w:val="0"/>
                <w:color w:val="1B2A32"/>
                <w:sz w:val="15"/>
              </w:rPr>
              <w:t>Welfare principle; Guardians and Wards Act</w:t>
            </w:r>
          </w:p>
        </w:tc>
        <w:tc>
          <w:tcPr>
            <w:tcW w:type="dxa" w:w="2592"/>
          </w:tcPr>
          <w:p>
            <w:r/>
            <w:r>
              <w:rPr>
                <w:rFonts w:ascii="Calibri" w:hAnsi="Calibri"/>
                <w:b w:val="0"/>
                <w:i w:val="0"/>
                <w:color w:val="1B2A32"/>
                <w:sz w:val="15"/>
              </w:rPr>
              <w:t>Cooling-off between motions can be waived in appropriate cases — do not promise it</w:t>
            </w:r>
          </w:p>
        </w:tc>
      </w:tr>
      <w:tr>
        <w:tc>
          <w:tcPr>
            <w:tcW w:type="dxa" w:w="1728"/>
            <w:shd w:val="clear" w:fill="F3F7F9"/>
          </w:tcPr>
          <w:p>
            <w:r/>
            <w:r>
              <w:rPr>
                <w:rFonts w:ascii="Calibri" w:hAnsi="Calibri"/>
                <w:b/>
                <w:i w:val="0"/>
                <w:color w:val="1B2A32"/>
                <w:sz w:val="15"/>
              </w:rPr>
              <w:t>Special Marriage Act 1954</w:t>
            </w:r>
          </w:p>
        </w:tc>
        <w:tc>
          <w:tcPr>
            <w:tcW w:type="dxa" w:w="2160"/>
            <w:shd w:val="clear" w:fill="F3F7F9"/>
          </w:tcPr>
          <w:p>
            <w:r/>
            <w:r>
              <w:rPr>
                <w:rFonts w:ascii="Calibri" w:hAnsi="Calibri"/>
                <w:b w:val="0"/>
                <w:i w:val="0"/>
                <w:color w:val="1B2A32"/>
                <w:sz w:val="15"/>
              </w:rPr>
              <w:t>Mutual consent (s.28); civil ceremony or registered</w:t>
            </w:r>
          </w:p>
        </w:tc>
        <w:tc>
          <w:tcPr>
            <w:tcW w:type="dxa" w:w="1872"/>
            <w:shd w:val="clear" w:fill="F3F7F9"/>
          </w:tcPr>
          <w:p>
            <w:r/>
            <w:r>
              <w:rPr>
                <w:rFonts w:ascii="Calibri" w:hAnsi="Calibri"/>
                <w:b w:val="0"/>
                <w:i w:val="0"/>
                <w:color w:val="1B2A32"/>
                <w:sz w:val="15"/>
              </w:rPr>
              <w:t>s.36/37</w:t>
            </w:r>
          </w:p>
        </w:tc>
        <w:tc>
          <w:tcPr>
            <w:tcW w:type="dxa" w:w="1728"/>
            <w:shd w:val="clear" w:fill="F3F7F9"/>
          </w:tcPr>
          <w:p>
            <w:r/>
            <w:r>
              <w:rPr>
                <w:rFonts w:ascii="Calibri" w:hAnsi="Calibri"/>
                <w:b w:val="0"/>
                <w:i w:val="0"/>
                <w:color w:val="1B2A32"/>
                <w:sz w:val="15"/>
              </w:rPr>
              <w:t>As above</w:t>
            </w:r>
          </w:p>
        </w:tc>
        <w:tc>
          <w:tcPr>
            <w:tcW w:type="dxa" w:w="2592"/>
            <w:shd w:val="clear" w:fill="F3F7F9"/>
          </w:tcPr>
          <w:p>
            <w:r/>
            <w:r>
              <w:rPr>
                <w:rFonts w:ascii="Calibri" w:hAnsi="Calibri"/>
                <w:b w:val="0"/>
                <w:i w:val="0"/>
                <w:color w:val="1B2A32"/>
                <w:sz w:val="15"/>
              </w:rPr>
              <w:t>Common for inter-faith couples; check registration and notice history</w:t>
            </w:r>
          </w:p>
        </w:tc>
      </w:tr>
      <w:tr>
        <w:tc>
          <w:tcPr>
            <w:tcW w:type="dxa" w:w="1728"/>
          </w:tcPr>
          <w:p>
            <w:r/>
            <w:r>
              <w:rPr>
                <w:rFonts w:ascii="Calibri" w:hAnsi="Calibri"/>
                <w:b/>
                <w:i w:val="0"/>
                <w:color w:val="1B2A32"/>
                <w:sz w:val="15"/>
              </w:rPr>
              <w:t>Muslim law</w:t>
            </w:r>
          </w:p>
        </w:tc>
        <w:tc>
          <w:tcPr>
            <w:tcW w:type="dxa" w:w="2160"/>
          </w:tcPr>
          <w:p>
            <w:r/>
            <w:r>
              <w:rPr>
                <w:rFonts w:ascii="Calibri" w:hAnsi="Calibri"/>
                <w:b w:val="0"/>
                <w:i w:val="0"/>
                <w:color w:val="1B2A32"/>
                <w:sz w:val="15"/>
              </w:rPr>
              <w:t>Talaq forms; khula; mubarat; Dissolution of Muslim Marriages Act 1939 for the wife</w:t>
            </w:r>
          </w:p>
        </w:tc>
        <w:tc>
          <w:tcPr>
            <w:tcW w:type="dxa" w:w="1872"/>
          </w:tcPr>
          <w:p>
            <w:r/>
            <w:r>
              <w:rPr>
                <w:rFonts w:ascii="Calibri" w:hAnsi="Calibri"/>
                <w:b w:val="0"/>
                <w:i w:val="0"/>
                <w:color w:val="1B2A32"/>
                <w:sz w:val="15"/>
              </w:rPr>
              <w:t>Mahr; iddat maintenance; statutory provisions and case law</w:t>
            </w:r>
          </w:p>
        </w:tc>
        <w:tc>
          <w:tcPr>
            <w:tcW w:type="dxa" w:w="1728"/>
          </w:tcPr>
          <w:p>
            <w:r/>
            <w:r>
              <w:rPr>
                <w:rFonts w:ascii="Calibri" w:hAnsi="Calibri"/>
                <w:b w:val="0"/>
                <w:i w:val="0"/>
                <w:color w:val="1B2A32"/>
                <w:sz w:val="15"/>
              </w:rPr>
              <w:t>Hizanat principles with welfare paramount</w:t>
            </w:r>
          </w:p>
        </w:tc>
        <w:tc>
          <w:tcPr>
            <w:tcW w:type="dxa" w:w="2592"/>
          </w:tcPr>
          <w:p>
            <w:r/>
            <w:r>
              <w:rPr>
                <w:rFonts w:ascii="Calibri" w:hAnsi="Calibri"/>
                <w:b w:val="0"/>
                <w:i w:val="0"/>
                <w:color w:val="1B2A32"/>
                <w:sz w:val="15"/>
              </w:rPr>
              <w:t>Mahr and iddat are frequently misunderstood by both sides — get the figures documented, do not opine on entitlement</w:t>
            </w:r>
          </w:p>
        </w:tc>
      </w:tr>
      <w:tr>
        <w:tc>
          <w:tcPr>
            <w:tcW w:type="dxa" w:w="1728"/>
            <w:shd w:val="clear" w:fill="F3F7F9"/>
          </w:tcPr>
          <w:p>
            <w:r/>
            <w:r>
              <w:rPr>
                <w:rFonts w:ascii="Calibri" w:hAnsi="Calibri"/>
                <w:b/>
                <w:i w:val="0"/>
                <w:color w:val="1B2A32"/>
                <w:sz w:val="15"/>
              </w:rPr>
              <w:t>Christian</w:t>
            </w:r>
            <w:r>
              <w:rPr>
                <w:rFonts w:ascii="Calibri" w:hAnsi="Calibri"/>
                <w:b w:val="0"/>
                <w:i w:val="0"/>
                <w:color w:val="1B2A32"/>
                <w:sz w:val="15"/>
              </w:rPr>
              <w:t xml:space="preserve"> (Indian Divorce Act 1869)</w:t>
            </w:r>
          </w:p>
        </w:tc>
        <w:tc>
          <w:tcPr>
            <w:tcW w:type="dxa" w:w="2160"/>
            <w:shd w:val="clear" w:fill="F3F7F9"/>
          </w:tcPr>
          <w:p>
            <w:r/>
            <w:r>
              <w:rPr>
                <w:rFonts w:ascii="Calibri" w:hAnsi="Calibri"/>
                <w:b w:val="0"/>
                <w:i w:val="0"/>
                <w:color w:val="1B2A32"/>
                <w:sz w:val="15"/>
              </w:rPr>
              <w:t>Petition grounds; mutual consent under s.10A</w:t>
            </w:r>
          </w:p>
        </w:tc>
        <w:tc>
          <w:tcPr>
            <w:tcW w:type="dxa" w:w="1872"/>
            <w:shd w:val="clear" w:fill="F3F7F9"/>
          </w:tcPr>
          <w:p>
            <w:r/>
            <w:r>
              <w:rPr>
                <w:rFonts w:ascii="Calibri" w:hAnsi="Calibri"/>
                <w:b w:val="0"/>
                <w:i w:val="0"/>
                <w:color w:val="1B2A32"/>
                <w:sz w:val="15"/>
              </w:rPr>
              <w:t>Alimony provisions</w:t>
            </w:r>
          </w:p>
        </w:tc>
        <w:tc>
          <w:tcPr>
            <w:tcW w:type="dxa" w:w="1728"/>
            <w:shd w:val="clear" w:fill="F3F7F9"/>
          </w:tcPr>
          <w:p>
            <w:r/>
            <w:r>
              <w:rPr>
                <w:rFonts w:ascii="Calibri" w:hAnsi="Calibri"/>
                <w:b w:val="0"/>
                <w:i w:val="0"/>
                <w:color w:val="1B2A32"/>
                <w:sz w:val="15"/>
              </w:rPr>
              <w:t>Welfare principle</w:t>
            </w:r>
          </w:p>
        </w:tc>
        <w:tc>
          <w:tcPr>
            <w:tcW w:type="dxa" w:w="2592"/>
            <w:shd w:val="clear" w:fill="F3F7F9"/>
          </w:tcPr>
          <w:p>
            <w:r/>
            <w:r>
              <w:rPr>
                <w:rFonts w:ascii="Calibri" w:hAnsi="Calibri"/>
                <w:b w:val="0"/>
                <w:i w:val="0"/>
                <w:color w:val="1B2A32"/>
                <w:sz w:val="15"/>
              </w:rPr>
              <w:t>Procedural steps differ; confirm current practice locally</w:t>
            </w:r>
          </w:p>
        </w:tc>
      </w:tr>
      <w:tr>
        <w:tc>
          <w:tcPr>
            <w:tcW w:type="dxa" w:w="1728"/>
          </w:tcPr>
          <w:p>
            <w:r/>
            <w:r>
              <w:rPr>
                <w:rFonts w:ascii="Calibri" w:hAnsi="Calibri"/>
                <w:b/>
                <w:i w:val="0"/>
                <w:color w:val="1B2A32"/>
                <w:sz w:val="15"/>
              </w:rPr>
              <w:t>Parsi</w:t>
            </w:r>
            <w:r>
              <w:rPr>
                <w:rFonts w:ascii="Calibri" w:hAnsi="Calibri"/>
                <w:b w:val="0"/>
                <w:i w:val="0"/>
                <w:color w:val="1B2A32"/>
                <w:sz w:val="15"/>
              </w:rPr>
              <w:t xml:space="preserve"> (Parsi Marriage and Divorce Act 1936)</w:t>
            </w:r>
          </w:p>
        </w:tc>
        <w:tc>
          <w:tcPr>
            <w:tcW w:type="dxa" w:w="2160"/>
          </w:tcPr>
          <w:p>
            <w:r/>
            <w:r>
              <w:rPr>
                <w:rFonts w:ascii="Calibri" w:hAnsi="Calibri"/>
                <w:b w:val="0"/>
                <w:i w:val="0"/>
                <w:color w:val="1B2A32"/>
                <w:sz w:val="15"/>
              </w:rPr>
              <w:t>Suit before a Parsi Chief Matrimonial Court with delegates</w:t>
            </w:r>
          </w:p>
        </w:tc>
        <w:tc>
          <w:tcPr>
            <w:tcW w:type="dxa" w:w="1872"/>
          </w:tcPr>
          <w:p>
            <w:r/>
            <w:r>
              <w:rPr>
                <w:rFonts w:ascii="Calibri" w:hAnsi="Calibri"/>
                <w:b w:val="0"/>
                <w:i w:val="0"/>
                <w:color w:val="1B2A32"/>
                <w:sz w:val="15"/>
              </w:rPr>
              <w:t>Statutory provisions</w:t>
            </w:r>
          </w:p>
        </w:tc>
        <w:tc>
          <w:tcPr>
            <w:tcW w:type="dxa" w:w="1728"/>
          </w:tcPr>
          <w:p>
            <w:r/>
            <w:r>
              <w:rPr>
                <w:rFonts w:ascii="Calibri" w:hAnsi="Calibri"/>
                <w:b w:val="0"/>
                <w:i w:val="0"/>
                <w:color w:val="1B2A32"/>
                <w:sz w:val="15"/>
              </w:rPr>
              <w:t>Welfare principle</w:t>
            </w:r>
          </w:p>
        </w:tc>
        <w:tc>
          <w:tcPr>
            <w:tcW w:type="dxa" w:w="2592"/>
          </w:tcPr>
          <w:p>
            <w:r/>
            <w:r>
              <w:rPr>
                <w:rFonts w:ascii="Calibri" w:hAnsi="Calibri"/>
                <w:b w:val="0"/>
                <w:i w:val="0"/>
                <w:color w:val="1B2A32"/>
                <w:sz w:val="15"/>
              </w:rPr>
              <w:t>Distinct forum and procedure — signpost rather than assume</w:t>
            </w:r>
          </w:p>
        </w:tc>
      </w:tr>
      <w:tr>
        <w:tc>
          <w:tcPr>
            <w:tcW w:type="dxa" w:w="1728"/>
            <w:shd w:val="clear" w:fill="F3F7F9"/>
          </w:tcPr>
          <w:p>
            <w:r/>
            <w:r>
              <w:rPr>
                <w:rFonts w:ascii="Calibri" w:hAnsi="Calibri"/>
                <w:b/>
                <w:i w:val="0"/>
                <w:color w:val="1B2A32"/>
                <w:sz w:val="15"/>
              </w:rPr>
              <w:t>Inter-faith / NRI</w:t>
            </w:r>
          </w:p>
        </w:tc>
        <w:tc>
          <w:tcPr>
            <w:tcW w:type="dxa" w:w="2160"/>
            <w:shd w:val="clear" w:fill="F3F7F9"/>
          </w:tcPr>
          <w:p>
            <w:r/>
            <w:r>
              <w:rPr>
                <w:rFonts w:ascii="Calibri" w:hAnsi="Calibri"/>
                <w:b w:val="0"/>
                <w:i w:val="0"/>
                <w:color w:val="1B2A32"/>
                <w:sz w:val="15"/>
              </w:rPr>
              <w:t>SMA, or foreign decree recognition questions</w:t>
            </w:r>
          </w:p>
        </w:tc>
        <w:tc>
          <w:tcPr>
            <w:tcW w:type="dxa" w:w="1872"/>
            <w:shd w:val="clear" w:fill="F3F7F9"/>
          </w:tcPr>
          <w:p>
            <w:r/>
            <w:r>
              <w:rPr>
                <w:rFonts w:ascii="Calibri" w:hAnsi="Calibri"/>
                <w:b w:val="0"/>
                <w:i w:val="0"/>
                <w:color w:val="1B2A32"/>
                <w:sz w:val="15"/>
              </w:rPr>
              <w:t>Jurisdiction contested</w:t>
            </w:r>
          </w:p>
        </w:tc>
        <w:tc>
          <w:tcPr>
            <w:tcW w:type="dxa" w:w="1728"/>
            <w:shd w:val="clear" w:fill="F3F7F9"/>
          </w:tcPr>
          <w:p>
            <w:r/>
            <w:r>
              <w:rPr>
                <w:rFonts w:ascii="Calibri" w:hAnsi="Calibri"/>
                <w:b w:val="0"/>
                <w:i w:val="0"/>
                <w:color w:val="1B2A32"/>
                <w:sz w:val="15"/>
              </w:rPr>
              <w:t>Habitual residence; Hague Convention position [verify]</w:t>
            </w:r>
          </w:p>
        </w:tc>
        <w:tc>
          <w:tcPr>
            <w:tcW w:type="dxa" w:w="2592"/>
            <w:shd w:val="clear" w:fill="F3F7F9"/>
          </w:tcPr>
          <w:p>
            <w:r/>
            <w:r>
              <w:rPr>
                <w:rFonts w:ascii="Calibri" w:hAnsi="Calibri"/>
                <w:b w:val="0"/>
                <w:i w:val="0"/>
                <w:color w:val="1B2A32"/>
                <w:sz w:val="15"/>
              </w:rPr>
              <w:t>Jurisdiction and enforceability are the real issues; take advice early</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The mediator's line</w:t>
            </w:r>
          </w:p>
          <w:p>
            <w:r>
              <w:rPr>
                <w:rFonts w:ascii="Calibri" w:hAnsi="Calibri"/>
                <w:b w:val="0"/>
                <w:i w:val="0"/>
                <w:color w:val="1B2A32"/>
                <w:sz w:val="19"/>
              </w:rPr>
              <w:t>You may explain how a regime generally works. You may not tell a party what they are entitled to under it. Where a settlement turns on a regime-specific entitlement — mahr, iddat, stridhan, a cooling-off waiver — insist on independent legal advice before signature.</w:t>
            </w:r>
          </w:p>
        </w:tc>
      </w:tr>
    </w:tbl>
    <w:p>
      <w:pPr>
        <w:spacing w:after="40"/>
      </w:pPr>
    </w:p>
    <w:p>
      <w:pPr>
        <w:keepNext/>
        <w:spacing w:before="280" w:after="120"/>
        <w:pBdr>
          <w:bottom w:val="single" w:sz="12" w:space="3" w:color="C6A15B"/>
        </w:pBdr>
      </w:pPr>
      <w:r>
        <w:rPr>
          <w:rFonts w:ascii="Calibri" w:hAnsi="Calibri"/>
          <w:b/>
          <w:i w:val="0"/>
          <w:color w:val="123B4F"/>
          <w:sz w:val="32"/>
        </w:rPr>
        <w:t>2.  Guide 2 — Domestic violence and safety</w:t>
      </w:r>
    </w:p>
    <w:p>
      <w:pPr>
        <w:pStyle w:val="ListBullet"/>
        <w:spacing w:after="60"/>
        <w:jc w:val="both"/>
      </w:pPr>
      <w:r>
        <w:rPr>
          <w:rFonts w:ascii="Calibri" w:hAnsi="Calibri"/>
          <w:b/>
          <w:i w:val="0"/>
          <w:color w:val="1B2A32"/>
          <w:sz w:val="21"/>
        </w:rPr>
        <w:t>Screen separately, always.</w:t>
      </w:r>
      <w:r>
        <w:rPr>
          <w:rFonts w:ascii="Calibri" w:hAnsi="Calibri"/>
          <w:b w:val="0"/>
          <w:i w:val="0"/>
          <w:color w:val="1B2A32"/>
          <w:sz w:val="21"/>
        </w:rPr>
        <w:t xml:space="preserve"> Never in the presence of the other party, and never disclose that screening took place.</w:t>
      </w:r>
    </w:p>
    <w:p>
      <w:pPr>
        <w:pStyle w:val="ListBullet"/>
        <w:spacing w:after="60"/>
        <w:jc w:val="both"/>
      </w:pPr>
      <w:r>
        <w:rPr>
          <w:rFonts w:ascii="Calibri" w:hAnsi="Calibri"/>
          <w:b/>
          <w:i w:val="0"/>
          <w:color w:val="1B2A32"/>
          <w:sz w:val="21"/>
        </w:rPr>
        <w:t>Recognise the patterns</w:t>
      </w:r>
      <w:r>
        <w:rPr>
          <w:rFonts w:ascii="Calibri" w:hAnsi="Calibri"/>
          <w:b w:val="0"/>
          <w:i w:val="0"/>
          <w:color w:val="1B2A32"/>
          <w:sz w:val="21"/>
        </w:rPr>
        <w:t xml:space="preserve"> — physical, sexual, emotional, economic abuse and coercive control. Control often presents as reasonableness in the room.</w:t>
      </w:r>
    </w:p>
    <w:p>
      <w:pPr>
        <w:pStyle w:val="ListBullet"/>
        <w:spacing w:after="60"/>
        <w:jc w:val="both"/>
      </w:pPr>
      <w:r>
        <w:rPr>
          <w:rFonts w:ascii="Calibri" w:hAnsi="Calibri"/>
          <w:b/>
          <w:i w:val="0"/>
          <w:color w:val="1B2A32"/>
          <w:sz w:val="21"/>
        </w:rPr>
        <w:t>A safety flag ends joint sessions.</w:t>
      </w:r>
      <w:r>
        <w:rPr>
          <w:rFonts w:ascii="Calibri" w:hAnsi="Calibri"/>
          <w:b w:val="0"/>
          <w:i w:val="0"/>
          <w:color w:val="1B2A32"/>
          <w:sz w:val="21"/>
        </w:rPr>
        <w:t xml:space="preserve"> Shuttle only, or terminate. The platform enforces this; do not work around it.</w:t>
      </w:r>
    </w:p>
    <w:p>
      <w:pPr>
        <w:pStyle w:val="ListBullet"/>
        <w:spacing w:after="60"/>
        <w:jc w:val="both"/>
      </w:pPr>
      <w:r>
        <w:rPr>
          <w:rFonts w:ascii="Calibri" w:hAnsi="Calibri"/>
          <w:b/>
          <w:i w:val="0"/>
          <w:color w:val="1B2A32"/>
          <w:sz w:val="21"/>
        </w:rPr>
        <w:t>Signpost, do not advise</w:t>
      </w:r>
      <w:r>
        <w:rPr>
          <w:rFonts w:ascii="Calibri" w:hAnsi="Calibri"/>
          <w:b w:val="0"/>
          <w:i w:val="0"/>
          <w:color w:val="1B2A32"/>
          <w:sz w:val="21"/>
        </w:rPr>
        <w:t xml:space="preserve"> — PWDVA protection orders, residence orders, monetary relief, Protection Officers, shelters, police.</w:t>
      </w:r>
    </w:p>
    <w:p>
      <w:pPr>
        <w:pStyle w:val="ListBullet"/>
        <w:spacing w:after="60"/>
        <w:jc w:val="both"/>
      </w:pPr>
      <w:r>
        <w:rPr>
          <w:rFonts w:ascii="Calibri" w:hAnsi="Calibri"/>
          <w:b/>
          <w:i w:val="0"/>
          <w:color w:val="1B2A32"/>
          <w:sz w:val="21"/>
        </w:rPr>
        <w:t>Never treat mediation as the remedy for abuse.</w:t>
      </w:r>
      <w:r>
        <w:rPr>
          <w:rFonts w:ascii="Calibri" w:hAnsi="Calibri"/>
          <w:b w:val="0"/>
          <w:i w:val="0"/>
          <w:color w:val="1B2A32"/>
          <w:sz w:val="21"/>
        </w:rPr>
        <w:t xml:space="preserve"> A settlement cannot make a person safe.</w:t>
      </w:r>
    </w:p>
    <w:p>
      <w:pPr>
        <w:pStyle w:val="ListBullet"/>
        <w:spacing w:after="60"/>
        <w:jc w:val="both"/>
      </w:pPr>
      <w:r>
        <w:rPr>
          <w:rFonts w:ascii="Calibri" w:hAnsi="Calibri"/>
          <w:b/>
          <w:i w:val="0"/>
          <w:color w:val="1B2A32"/>
          <w:sz w:val="21"/>
        </w:rPr>
        <w:t>Financial abuse</w:t>
      </w:r>
      <w:r>
        <w:rPr>
          <w:rFonts w:ascii="Calibri" w:hAnsi="Calibri"/>
          <w:b w:val="0"/>
          <w:i w:val="0"/>
          <w:color w:val="1B2A32"/>
          <w:sz w:val="21"/>
        </w:rPr>
        <w:t xml:space="preserve"> is often the reason a party accepts a poor settlement — watch for a party conceding everything quickly.</w:t>
      </w:r>
    </w:p>
    <w:p>
      <w:pPr>
        <w:keepNext/>
        <w:spacing w:before="280" w:after="120"/>
        <w:pBdr>
          <w:bottom w:val="single" w:sz="12" w:space="3" w:color="C6A15B"/>
        </w:pBdr>
      </w:pPr>
      <w:r>
        <w:rPr>
          <w:rFonts w:ascii="Calibri" w:hAnsi="Calibri"/>
          <w:b/>
          <w:i w:val="0"/>
          <w:color w:val="123B4F"/>
          <w:sz w:val="32"/>
        </w:rPr>
        <w:t>3.  Guide 3 — Custody and parenting</w:t>
      </w:r>
    </w:p>
    <w:p>
      <w:pPr>
        <w:pStyle w:val="ListBullet"/>
        <w:spacing w:after="60"/>
        <w:jc w:val="both"/>
      </w:pPr>
      <w:r>
        <w:rPr>
          <w:rFonts w:ascii="Calibri" w:hAnsi="Calibri"/>
          <w:b w:val="0"/>
          <w:i w:val="0"/>
          <w:color w:val="1B2A32"/>
          <w:sz w:val="21"/>
        </w:rPr>
        <w:t xml:space="preserve">Welfare of the child is paramount and is </w:t>
      </w:r>
      <w:r>
        <w:rPr>
          <w:rFonts w:ascii="Calibri" w:hAnsi="Calibri"/>
          <w:b/>
          <w:i w:val="0"/>
          <w:color w:val="1B2A32"/>
          <w:sz w:val="21"/>
        </w:rPr>
        <w:t>not</w:t>
      </w:r>
      <w:r>
        <w:rPr>
          <w:rFonts w:ascii="Calibri" w:hAnsi="Calibri"/>
          <w:b w:val="0"/>
          <w:i w:val="0"/>
          <w:color w:val="1B2A32"/>
          <w:sz w:val="21"/>
        </w:rPr>
        <w:t xml:space="preserve"> a bargaining counter; never let a parent trade contact for money.</w:t>
      </w:r>
    </w:p>
    <w:p>
      <w:pPr>
        <w:pStyle w:val="ListBullet"/>
        <w:spacing w:after="60"/>
        <w:jc w:val="both"/>
      </w:pPr>
      <w:r>
        <w:rPr>
          <w:rFonts w:ascii="Calibri" w:hAnsi="Calibri"/>
          <w:b w:val="0"/>
          <w:i w:val="0"/>
          <w:color w:val="1B2A32"/>
          <w:sz w:val="21"/>
        </w:rPr>
        <w:t xml:space="preserve">Build a </w:t>
      </w:r>
      <w:r>
        <w:rPr>
          <w:rFonts w:ascii="Calibri" w:hAnsi="Calibri"/>
          <w:b/>
          <w:i w:val="0"/>
          <w:color w:val="1B2A32"/>
          <w:sz w:val="21"/>
        </w:rPr>
        <w:t>parenting plan</w:t>
      </w:r>
      <w:r>
        <w:rPr>
          <w:rFonts w:ascii="Calibri" w:hAnsi="Calibri"/>
          <w:b w:val="0"/>
          <w:i w:val="0"/>
          <w:color w:val="1B2A32"/>
          <w:sz w:val="21"/>
        </w:rPr>
        <w:t>, not a custody label — schedule, holidays, handovers, schooling, medical decisions, communication.</w:t>
      </w:r>
    </w:p>
    <w:p>
      <w:pPr>
        <w:pStyle w:val="ListBullet"/>
        <w:spacing w:after="60"/>
        <w:jc w:val="both"/>
      </w:pPr>
      <w:r>
        <w:rPr>
          <w:rFonts w:ascii="Calibri" w:hAnsi="Calibri"/>
          <w:b/>
          <w:i w:val="0"/>
          <w:color w:val="1B2A32"/>
          <w:sz w:val="21"/>
        </w:rPr>
        <w:t>Child-inclusive mediation</w:t>
      </w:r>
      <w:r>
        <w:rPr>
          <w:rFonts w:ascii="Calibri" w:hAnsi="Calibri"/>
          <w:b w:val="0"/>
          <w:i w:val="0"/>
          <w:color w:val="1B2A32"/>
          <w:sz w:val="21"/>
        </w:rPr>
        <w:t xml:space="preserve"> only with informed consent of both parents and the child, and only by a trained specialist; the child is never made responsible for the outcome.</w:t>
      </w:r>
    </w:p>
    <w:p>
      <w:pPr>
        <w:pStyle w:val="ListBullet"/>
        <w:spacing w:after="60"/>
        <w:jc w:val="both"/>
      </w:pPr>
      <w:r>
        <w:rPr>
          <w:rFonts w:ascii="Calibri" w:hAnsi="Calibri"/>
          <w:b w:val="0"/>
          <w:i w:val="0"/>
          <w:color w:val="1B2A32"/>
          <w:sz w:val="21"/>
        </w:rPr>
        <w:t xml:space="preserve">Plan for </w:t>
      </w:r>
      <w:r>
        <w:rPr>
          <w:rFonts w:ascii="Calibri" w:hAnsi="Calibri"/>
          <w:b/>
          <w:i w:val="0"/>
          <w:color w:val="1B2A32"/>
          <w:sz w:val="21"/>
        </w:rPr>
        <w:t>review</w:t>
      </w:r>
      <w:r>
        <w:rPr>
          <w:rFonts w:ascii="Calibri" w:hAnsi="Calibri"/>
          <w:b w:val="0"/>
          <w:i w:val="0"/>
          <w:color w:val="1B2A32"/>
          <w:sz w:val="21"/>
        </w:rPr>
        <w:t xml:space="preserve"> — arrangements that fit a six-year-old fail a twelve-year-old; build in re-mediation.</w:t>
      </w:r>
    </w:p>
    <w:p>
      <w:pPr>
        <w:pStyle w:val="ListBullet"/>
        <w:spacing w:after="60"/>
        <w:jc w:val="both"/>
      </w:pPr>
      <w:r>
        <w:rPr>
          <w:rFonts w:ascii="Calibri" w:hAnsi="Calibri"/>
          <w:b w:val="0"/>
          <w:i w:val="0"/>
          <w:color w:val="1B2A32"/>
          <w:sz w:val="21"/>
        </w:rPr>
        <w:t xml:space="preserve">Watch for </w:t>
      </w:r>
      <w:r>
        <w:rPr>
          <w:rFonts w:ascii="Calibri" w:hAnsi="Calibri"/>
          <w:b/>
          <w:i w:val="0"/>
          <w:color w:val="1B2A32"/>
          <w:sz w:val="21"/>
        </w:rPr>
        <w:t>alienation dynamics</w:t>
      </w:r>
      <w:r>
        <w:rPr>
          <w:rFonts w:ascii="Calibri" w:hAnsi="Calibri"/>
          <w:b w:val="0"/>
          <w:i w:val="0"/>
          <w:color w:val="1B2A32"/>
          <w:sz w:val="21"/>
        </w:rPr>
        <w:t xml:space="preserve"> in both directions; the mediator does not adjudicate them.</w:t>
      </w:r>
    </w:p>
    <w:p>
      <w:pPr>
        <w:keepNext/>
        <w:spacing w:before="280" w:after="120"/>
        <w:pBdr>
          <w:bottom w:val="single" w:sz="12" w:space="3" w:color="C6A15B"/>
        </w:pBdr>
      </w:pPr>
      <w:r>
        <w:rPr>
          <w:rFonts w:ascii="Calibri" w:hAnsi="Calibri"/>
          <w:b/>
          <w:i w:val="0"/>
          <w:color w:val="123B4F"/>
          <w:sz w:val="32"/>
        </w:rPr>
        <w:t>4.  Guide 4 — Maintenance and financial disclosure</w:t>
      </w:r>
    </w:p>
    <w:p>
      <w:pPr>
        <w:pStyle w:val="ListBullet"/>
        <w:spacing w:after="60"/>
        <w:jc w:val="both"/>
      </w:pPr>
      <w:r>
        <w:rPr>
          <w:rFonts w:ascii="Calibri" w:hAnsi="Calibri"/>
          <w:b w:val="0"/>
          <w:i w:val="0"/>
          <w:color w:val="1B2A32"/>
          <w:sz w:val="21"/>
        </w:rPr>
        <w:t xml:space="preserve">Insist on </w:t>
      </w:r>
      <w:r>
        <w:rPr>
          <w:rFonts w:ascii="Calibri" w:hAnsi="Calibri"/>
          <w:b/>
          <w:i w:val="0"/>
          <w:color w:val="1B2A32"/>
          <w:sz w:val="21"/>
        </w:rPr>
        <w:t>disclosure before negotiation</w:t>
      </w:r>
      <w:r>
        <w:rPr>
          <w:rFonts w:ascii="Calibri" w:hAnsi="Calibri"/>
          <w:b w:val="0"/>
          <w:i w:val="0"/>
          <w:color w:val="1B2A32"/>
          <w:sz w:val="21"/>
        </w:rPr>
        <w:t xml:space="preserve"> — payslips, returns, bank statements, liabilities.</w:t>
      </w:r>
    </w:p>
    <w:p>
      <w:pPr>
        <w:pStyle w:val="ListBullet"/>
        <w:spacing w:after="60"/>
        <w:jc w:val="both"/>
      </w:pPr>
      <w:r>
        <w:rPr>
          <w:rFonts w:ascii="Calibri" w:hAnsi="Calibri"/>
          <w:b w:val="0"/>
          <w:i w:val="0"/>
          <w:color w:val="1B2A32"/>
          <w:sz w:val="21"/>
        </w:rPr>
        <w:t xml:space="preserve">Use the maintenance calculator as a </w:t>
      </w:r>
      <w:r>
        <w:rPr>
          <w:rFonts w:ascii="Calibri" w:hAnsi="Calibri"/>
          <w:b/>
          <w:i w:val="0"/>
          <w:color w:val="1B2A32"/>
          <w:sz w:val="21"/>
        </w:rPr>
        <w:t>transparent frame</w:t>
      </w:r>
      <w:r>
        <w:rPr>
          <w:rFonts w:ascii="Calibri" w:hAnsi="Calibri"/>
          <w:b w:val="0"/>
          <w:i w:val="0"/>
          <w:color w:val="1B2A32"/>
          <w:sz w:val="21"/>
        </w:rPr>
        <w:t>, never as an entitlement figure.</w:t>
      </w:r>
    </w:p>
    <w:p>
      <w:pPr>
        <w:pStyle w:val="ListBullet"/>
        <w:spacing w:after="60"/>
        <w:jc w:val="both"/>
      </w:pPr>
      <w:r>
        <w:rPr>
          <w:rFonts w:ascii="Calibri" w:hAnsi="Calibri"/>
          <w:b w:val="0"/>
          <w:i w:val="0"/>
          <w:color w:val="1B2A32"/>
          <w:sz w:val="21"/>
        </w:rPr>
        <w:t xml:space="preserve">Consider </w:t>
      </w:r>
      <w:r>
        <w:rPr>
          <w:rFonts w:ascii="Calibri" w:hAnsi="Calibri"/>
          <w:b/>
          <w:i w:val="0"/>
          <w:color w:val="1B2A32"/>
          <w:sz w:val="21"/>
        </w:rPr>
        <w:t>structure</w:t>
      </w:r>
      <w:r>
        <w:rPr>
          <w:rFonts w:ascii="Calibri" w:hAnsi="Calibri"/>
          <w:b w:val="0"/>
          <w:i w:val="0"/>
          <w:color w:val="1B2A32"/>
          <w:sz w:val="21"/>
        </w:rPr>
        <w:t>: periodic vs lump-sum, indexation, school fees, medical costs, and security for payment.</w:t>
      </w:r>
    </w:p>
    <w:p>
      <w:pPr>
        <w:pStyle w:val="ListBullet"/>
        <w:spacing w:after="60"/>
        <w:jc w:val="both"/>
      </w:pPr>
      <w:r>
        <w:rPr>
          <w:rFonts w:ascii="Calibri" w:hAnsi="Calibri"/>
          <w:b/>
          <w:i w:val="0"/>
          <w:color w:val="1B2A32"/>
          <w:sz w:val="21"/>
        </w:rPr>
        <w:t>Enforceability</w:t>
      </w:r>
      <w:r>
        <w:rPr>
          <w:rFonts w:ascii="Calibri" w:hAnsi="Calibri"/>
          <w:b w:val="0"/>
          <w:i w:val="0"/>
          <w:color w:val="1B2A32"/>
          <w:sz w:val="21"/>
        </w:rPr>
        <w:t>: an MSA is enforceable as a decree (s.27); build in a default clause and escrow where trust is low.</w:t>
      </w:r>
    </w:p>
    <w:p>
      <w:pPr>
        <w:pStyle w:val="ListBullet"/>
        <w:spacing w:after="60"/>
        <w:jc w:val="both"/>
      </w:pPr>
      <w:r>
        <w:rPr>
          <w:rFonts w:ascii="Calibri" w:hAnsi="Calibri"/>
          <w:b w:val="0"/>
          <w:i w:val="0"/>
          <w:color w:val="1B2A32"/>
          <w:sz w:val="21"/>
        </w:rPr>
        <w:t xml:space="preserve">Address </w:t>
      </w:r>
      <w:r>
        <w:rPr>
          <w:rFonts w:ascii="Calibri" w:hAnsi="Calibri"/>
          <w:b/>
          <w:i w:val="0"/>
          <w:color w:val="1B2A32"/>
          <w:sz w:val="21"/>
        </w:rPr>
        <w:t>tax and property transfer consequences</w:t>
      </w:r>
      <w:r>
        <w:rPr>
          <w:rFonts w:ascii="Calibri" w:hAnsi="Calibri"/>
          <w:b w:val="0"/>
          <w:i w:val="0"/>
          <w:color w:val="1B2A32"/>
          <w:sz w:val="21"/>
        </w:rPr>
        <w:t xml:space="preserve"> by flagging them for professional advice.</w:t>
      </w:r>
    </w:p>
    <w:p>
      <w:pPr>
        <w:keepNext/>
        <w:spacing w:before="280" w:after="120"/>
        <w:pBdr>
          <w:bottom w:val="single" w:sz="12" w:space="3" w:color="C6A15B"/>
        </w:pBdr>
      </w:pPr>
      <w:r>
        <w:rPr>
          <w:rFonts w:ascii="Calibri" w:hAnsi="Calibri"/>
          <w:b/>
          <w:i w:val="0"/>
          <w:color w:val="123B4F"/>
          <w:sz w:val="32"/>
        </w:rPr>
        <w:t>5.  Guide 5 — Matrimonial property and stridhan</w:t>
      </w:r>
    </w:p>
    <w:p>
      <w:pPr>
        <w:pStyle w:val="ListBullet"/>
        <w:spacing w:after="60"/>
        <w:jc w:val="both"/>
      </w:pPr>
      <w:r>
        <w:rPr>
          <w:rFonts w:ascii="Calibri" w:hAnsi="Calibri"/>
          <w:b w:val="0"/>
          <w:i w:val="0"/>
          <w:color w:val="1B2A32"/>
          <w:sz w:val="21"/>
        </w:rPr>
        <w:t xml:space="preserve">Separate </w:t>
      </w:r>
      <w:r>
        <w:rPr>
          <w:rFonts w:ascii="Calibri" w:hAnsi="Calibri"/>
          <w:b/>
          <w:i w:val="0"/>
          <w:color w:val="1B2A32"/>
          <w:sz w:val="21"/>
        </w:rPr>
        <w:t>stridhan</w:t>
      </w:r>
      <w:r>
        <w:rPr>
          <w:rFonts w:ascii="Calibri" w:hAnsi="Calibri"/>
          <w:b w:val="0"/>
          <w:i w:val="0"/>
          <w:color w:val="1B2A32"/>
          <w:sz w:val="21"/>
        </w:rPr>
        <w:t xml:space="preserve"> (her absolute property) from jointly acquired assets — this distinction is frequently blurred.</w:t>
      </w:r>
    </w:p>
    <w:p>
      <w:pPr>
        <w:pStyle w:val="ListBullet"/>
        <w:spacing w:after="60"/>
        <w:jc w:val="both"/>
      </w:pPr>
      <w:r>
        <w:rPr>
          <w:rFonts w:ascii="Calibri" w:hAnsi="Calibri"/>
          <w:b w:val="0"/>
          <w:i w:val="0"/>
          <w:color w:val="1B2A32"/>
          <w:sz w:val="21"/>
        </w:rPr>
        <w:t>Inventory and photograph where possible; a vague list produces a later dispute.</w:t>
      </w:r>
    </w:p>
    <w:p>
      <w:pPr>
        <w:pStyle w:val="ListBullet"/>
        <w:spacing w:after="60"/>
        <w:jc w:val="both"/>
      </w:pPr>
      <w:r>
        <w:rPr>
          <w:rFonts w:ascii="Calibri" w:hAnsi="Calibri"/>
          <w:b w:val="0"/>
          <w:i w:val="0"/>
          <w:color w:val="1B2A32"/>
          <w:sz w:val="21"/>
        </w:rPr>
        <w:t xml:space="preserve">Deal with the </w:t>
      </w:r>
      <w:r>
        <w:rPr>
          <w:rFonts w:ascii="Calibri" w:hAnsi="Calibri"/>
          <w:b/>
          <w:i w:val="0"/>
          <w:color w:val="1B2A32"/>
          <w:sz w:val="21"/>
        </w:rPr>
        <w:t>matrimonial home</w:t>
      </w:r>
      <w:r>
        <w:rPr>
          <w:rFonts w:ascii="Calibri" w:hAnsi="Calibri"/>
          <w:b w:val="0"/>
          <w:i w:val="0"/>
          <w:color w:val="1B2A32"/>
          <w:sz w:val="21"/>
        </w:rPr>
        <w:t xml:space="preserve"> explicitly — sale, retention, occupation, loan servicing, and timing.</w:t>
      </w:r>
    </w:p>
    <w:p>
      <w:pPr>
        <w:pStyle w:val="ListBullet"/>
        <w:spacing w:after="60"/>
        <w:jc w:val="both"/>
      </w:pPr>
      <w:r>
        <w:rPr>
          <w:rFonts w:ascii="Calibri" w:hAnsi="Calibri"/>
          <w:b w:val="0"/>
          <w:i w:val="0"/>
          <w:color w:val="1B2A32"/>
          <w:sz w:val="21"/>
        </w:rPr>
        <w:t xml:space="preserve">Address </w:t>
      </w:r>
      <w:r>
        <w:rPr>
          <w:rFonts w:ascii="Calibri" w:hAnsi="Calibri"/>
          <w:b/>
          <w:i w:val="0"/>
          <w:color w:val="1B2A32"/>
          <w:sz w:val="21"/>
        </w:rPr>
        <w:t>joint liabilities and nominations</w:t>
      </w:r>
      <w:r>
        <w:rPr>
          <w:rFonts w:ascii="Calibri" w:hAnsi="Calibri"/>
          <w:b w:val="0"/>
          <w:i w:val="0"/>
          <w:color w:val="1B2A32"/>
          <w:sz w:val="21"/>
        </w:rPr>
        <w:t>, which are almost always forgotten until they cause a problem.</w:t>
      </w:r>
    </w:p>
    <w:p>
      <w:pPr>
        <w:keepNext/>
        <w:spacing w:before="280" w:after="120"/>
        <w:pBdr>
          <w:bottom w:val="single" w:sz="12" w:space="3" w:color="C6A15B"/>
        </w:pBdr>
      </w:pPr>
      <w:r>
        <w:rPr>
          <w:rFonts w:ascii="Calibri" w:hAnsi="Calibri"/>
          <w:b/>
          <w:i w:val="0"/>
          <w:color w:val="123B4F"/>
          <w:sz w:val="32"/>
        </w:rPr>
        <w:t>6.  Guide 6 — Criminal proceedings running alongside</w:t>
      </w:r>
    </w:p>
    <w:p>
      <w:pPr>
        <w:spacing w:after="120"/>
        <w:jc w:val="both"/>
      </w:pPr>
      <w:r>
        <w:rPr>
          <w:rFonts w:ascii="Calibri" w:hAnsi="Calibri"/>
          <w:b w:val="0"/>
          <w:i w:val="0"/>
          <w:color w:val="1B2A32"/>
          <w:sz w:val="21"/>
        </w:rPr>
        <w:t xml:space="preserve">Where a complaint under the BNS provisions (including the successor to s.498A) or a dowry-related complaint is pending, the civil terms may be mediated, but </w:t>
      </w:r>
      <w:r>
        <w:rPr>
          <w:rFonts w:ascii="Calibri" w:hAnsi="Calibri"/>
          <w:b/>
          <w:i w:val="0"/>
          <w:color w:val="1B2A32"/>
          <w:sz w:val="21"/>
        </w:rPr>
        <w:t>the criminal proceeding is for the court alone</w:t>
      </w:r>
      <w:r>
        <w:rPr>
          <w:rFonts w:ascii="Calibri" w:hAnsi="Calibri"/>
          <w:b w:val="0"/>
          <w:i w:val="0"/>
          <w:color w:val="1B2A32"/>
          <w:sz w:val="21"/>
        </w:rPr>
        <w:t>. A settlement may be placed before the court in support of an application to compound or quash, but the mediator must never promise an outcome, and must never allow the withdrawal of a complaint to be traded as a term of payment in a way that could amount to coercion.</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The line that must not be crossed</w:t>
            </w:r>
          </w:p>
          <w:p>
            <w:r>
              <w:rPr>
                <w:rFonts w:ascii="Calibri" w:hAnsi="Calibri"/>
                <w:b w:val="0"/>
                <w:i w:val="0"/>
                <w:color w:val="1B2A32"/>
                <w:sz w:val="19"/>
              </w:rPr>
              <w:t>Never draft or endorse a term that makes a payment conditional on a party withdrawing a criminal complaint in circumstances amounting to pressure. Record the settlement; leave the criminal disposal to the court on its own assessment.</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Family &amp; Marital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5A42096-4FF4-4979-8B68-DB1D733DF136}"/>
</file>

<file path=customXml/itemProps3.xml><?xml version="1.0" encoding="utf-8"?>
<ds:datastoreItem xmlns:ds="http://schemas.openxmlformats.org/officeDocument/2006/customXml" ds:itemID="{836A1D88-6357-486C-9135-20A3803C9626}"/>
</file>

<file path=customXml/itemProps4.xml><?xml version="1.0" encoding="utf-8"?>
<ds:datastoreItem xmlns:ds="http://schemas.openxmlformats.org/officeDocument/2006/customXml" ds:itemID="{270E9325-1260-4A58-9110-D7C317B31A3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