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Family Mediation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Competitive &amp; Market Note (Family)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Where Equator sits in India's family dispute-resolution landscape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Family &amp; Marital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On the figures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Structural points are matters of law and are stated as at July 2026. Volumes and market sizing are directional and marked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[verify]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— cite official sources before any external use.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The landscape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A separating couple in India has, in practice, four options: litigate in the Family Court; use the court-annexed mediation centre; negotiate privately through lawyers; or endure. Each has a real weakness, and the gap Equator occupies is a </w:t>
      </w:r>
      <w:r>
        <w:rPr>
          <w:rFonts w:ascii="Calibri" w:hAnsi="Calibri"/>
          <w:b/>
          <w:i w:val="0"/>
          <w:color w:val="1B2A32"/>
          <w:sz w:val="21"/>
        </w:rPr>
        <w:t>structured, safe, enforceable settlement reached quickly and privately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Option</w:t>
            </w:r>
          </w:p>
        </w:tc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Strengths</w:t>
            </w:r>
          </w:p>
        </w:tc>
        <w:tc>
          <w:tcPr>
            <w:tcW w:type="dxa" w:w="388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Limits vs Equator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Family Court litigation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Binding; statutory remedies; free or low cost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Years of delay [verify]; adversarial; public; damaging to co-parenting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Court-annexed mediation centres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Free; judicially trusted; settlement takes effect in the proceedings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Capacity-constrained; variable training; usually only after litigation has started; little safety screening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Lawyer-led private negotiation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Familiar; advice included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Each lawyer advocates; no neutral; no screening; outcomes depend on relative bargaining power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Private mediators / NGOs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Skilled individuals; community trust</w:t>
            </w:r>
          </w:p>
        </w:tc>
        <w:tc>
          <w:tcPr>
            <w:tcW w:type="dxa" w:w="388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Individual rather than institutional; no rules, panel governance, escrow or enforceable process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Online ODR platforms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Digital convenience [verify current family focus]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Family work needs safety screening and child-welfare competence that generic ODR does not provide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What Equator offers that the others structurally cannot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Safety screening as a condition precedent</w:t>
      </w:r>
      <w:r>
        <w:rPr>
          <w:rFonts w:ascii="Calibri" w:hAnsi="Calibri"/>
          <w:b w:val="0"/>
          <w:i w:val="0"/>
          <w:color w:val="1B2A32"/>
          <w:sz w:val="21"/>
        </w:rPr>
        <w:t>, enforced in the system — not a form, a gate.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An institution, not an individual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published rules, a graded and conflict-checked panel, complaints machinery, and quality audit.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Enforceability by design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MSA under s.27, e-signed, e-stamped, registrable under s.20.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Escrow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money moves on verified milestones rather than trust.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Child-welfare competence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parenting plans and child-inclusive practice by trained specialists.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Before litigation, not after it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most of the value is in reaching people before positions harden.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Demand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Driver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Position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Relevance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Family Court pendency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Large and long-running [verify — cite NJDG]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The core argument for a faster route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Mediation Act, 2023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 force; MSA enforceable as a decree (s.27)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Makes a private settlement genuinely binding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Court referral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s.89 CPC and Family Courts Act referral practice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 structural pipeline if courts trust the institution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Urban separation rates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Rising, particularly in metros [verify]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Growing addressable population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Digital comfort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High smartphone penetration [verify]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Makes ODR viable for family matters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Statement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Equator is the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safe, structured route through a separation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— an institution that screens for safety first, keeps the children out of the crossfire, and produces a settlement that is enforceable as a court decree, in weeks rather than years.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The honest risks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Trust is the whole product.</w:t>
      </w:r>
      <w:r>
        <w:rPr>
          <w:rFonts w:ascii="Calibri" w:hAnsi="Calibri"/>
          <w:b w:val="0"/>
          <w:i w:val="0"/>
          <w:color w:val="1B2A32"/>
          <w:sz w:val="21"/>
        </w:rPr>
        <w:t xml:space="preserve"> One badly handled domestic-violence matter would do disproportionate damage. This is why screening is engineered rather than promised.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Willingness to pay is low</w:t>
      </w:r>
      <w:r>
        <w:rPr>
          <w:rFonts w:ascii="Calibri" w:hAnsi="Calibri"/>
          <w:b w:val="0"/>
          <w:i w:val="0"/>
          <w:color w:val="1B2A32"/>
          <w:sz w:val="21"/>
        </w:rPr>
        <w:t xml:space="preserve"> in individual family matters — hence concessions, pro-bono places, and cross-subsidy from the commercial and financial verticals.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Court dependence.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If courts do not refer, volume must be built consumer-side, which is slower and costlier.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Perception of privatising family justice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mitigated by nil-cost pilots, transparent outcome reporting, and the court deciding everything.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Competition from free court-annexed mediation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answer is not price but quality, speed, safety and enforceability.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Sources &amp; verification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Mediation Act, 2023 — ss.20, 22, 27; Family Courts Act, 1984; s.89 CPC.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Pendency and disposal data: </w:t>
      </w:r>
      <w:r>
        <w:rPr>
          <w:rFonts w:ascii="Calibri" w:hAnsi="Calibri"/>
          <w:b/>
          <w:i w:val="0"/>
          <w:color w:val="1B2A32"/>
          <w:sz w:val="21"/>
        </w:rPr>
        <w:t>[verify — National Judicial Data Grid]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Separation and demographic data: </w:t>
      </w:r>
      <w:r>
        <w:rPr>
          <w:rFonts w:ascii="Calibri" w:hAnsi="Calibri"/>
          <w:b/>
          <w:i w:val="0"/>
          <w:color w:val="1B2A32"/>
          <w:sz w:val="21"/>
        </w:rPr>
        <w:t>[verify — Census / official surveys]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Competitor and ODR positioning: </w:t>
      </w:r>
      <w:r>
        <w:rPr>
          <w:rFonts w:ascii="Calibri" w:hAnsi="Calibri"/>
          <w:b/>
          <w:i w:val="0"/>
          <w:color w:val="1B2A32"/>
          <w:sz w:val="21"/>
        </w:rPr>
        <w:t>[verify current focus before external use]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Family &amp; Marital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FE2A15-1BBE-475F-AE19-BDC72E0FCF2C}"/>
</file>

<file path=customXml/itemProps3.xml><?xml version="1.0" encoding="utf-8"?>
<ds:datastoreItem xmlns:ds="http://schemas.openxmlformats.org/officeDocument/2006/customXml" ds:itemID="{646ED270-64BE-4F3B-90EB-DFB9C5FF1905}"/>
</file>

<file path=customXml/itemProps4.xml><?xml version="1.0" encoding="utf-8"?>
<ds:datastoreItem xmlns:ds="http://schemas.openxmlformats.org/officeDocument/2006/customXml" ds:itemID="{C13DF091-4AD3-4665-96EF-23495CDBE98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