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libri" w:hAnsi="Calibri"/>
          <w:b/>
          <w:i w:val="0"/>
          <w:color w:val="123B4F"/>
          <w:sz w:val="34"/>
        </w:rPr>
        <w:t>EQUATOR RESOLUTION</w:t>
      </w:r>
    </w:p>
    <w:p>
      <w:pPr>
        <w:spacing w:after="60"/>
        <w:jc w:val="center"/>
      </w:pPr>
      <w:r>
        <w:rPr>
          <w:rFonts w:ascii="Calibri" w:hAnsi="Calibri"/>
          <w:b w:val="0"/>
          <w:i/>
          <w:color w:val="1E7A8C"/>
          <w:sz w:val="21"/>
        </w:rPr>
        <w:t>Institutional Mediation, Conciliation &amp; Arbitration</w:t>
      </w:r>
    </w:p>
    <w:p>
      <w:pPr>
        <w:pBdr>
          <w:top w:val="single" w:sz="14" w:space="6" w:color="C6A15B"/>
          <w:bottom w:val="single" w:sz="14" w:space="6" w:color="C6A15B"/>
        </w:pBdr>
      </w:pPr>
    </w:p>
    <w:p>
      <w:pPr>
        <w:spacing w:before="600"/>
        <w:jc w:val="center"/>
      </w:pPr>
      <w:r>
        <w:rPr>
          <w:rFonts w:ascii="Calibri" w:hAnsi="Calibri"/>
          <w:b/>
          <w:i w:val="0"/>
          <w:color w:val="123B4F"/>
          <w:sz w:val="48"/>
        </w:rPr>
        <w:t>Platform DPIA &amp; Security / Trust Pack</w:t>
      </w:r>
    </w:p>
    <w:p>
      <w:pPr>
        <w:jc w:val="center"/>
      </w:pPr>
      <w:r>
        <w:rPr>
          <w:rFonts w:ascii="Calibri" w:hAnsi="Calibri"/>
          <w:b w:val="0"/>
          <w:i/>
          <w:color w:val="556168"/>
          <w:sz w:val="25"/>
        </w:rPr>
        <w:t>One DPIA, one threat model, one assurance programme for all five verticals</w:t>
      </w:r>
    </w:p>
    <w:p/>
    <w:p/>
    <w:p/>
    <w:p/>
    <w:p/>
    <w:p/>
    <w:p/>
    <w:p/>
    <w:p>
      <w:pPr>
        <w:jc w:val="center"/>
      </w:pPr>
      <w:r>
        <w:rPr>
          <w:rFonts w:ascii="Calibri" w:hAnsi="Calibri"/>
          <w:b/>
          <w:i w:val="0"/>
          <w:color w:val="1E7A8C"/>
          <w:sz w:val="22"/>
        </w:rPr>
        <w:t>Platform — institution-wide</w:t>
      </w:r>
    </w:p>
    <w:p>
      <w:pPr>
        <w:jc w:val="center"/>
      </w:pPr>
      <w:r>
        <w:rPr>
          <w:rFonts w:ascii="Calibri" w:hAnsi="Calibri"/>
          <w:b w:val="0"/>
          <w:i w:val="0"/>
          <w:color w:val="556168"/>
          <w:sz w:val="19"/>
        </w:rPr>
        <w:t>July 2026  ·  Draft for legal sign-off  ·  www.equatorresolution.com</w:t>
      </w:r>
    </w:p>
    <w:p>
      <w:r>
        <w:br w:type="page"/>
      </w:r>
    </w:p>
    <w:p>
      <w:pPr>
        <w:keepNext/>
        <w:spacing w:before="280" w:after="120"/>
        <w:pBdr>
          <w:bottom w:val="single" w:sz="12" w:space="3" w:color="C6A15B"/>
        </w:pBdr>
      </w:pPr>
      <w:r>
        <w:rPr>
          <w:rFonts w:ascii="Calibri" w:hAnsi="Calibri"/>
          <w:b/>
          <w:i w:val="0"/>
          <w:color w:val="123B4F"/>
          <w:sz w:val="32"/>
        </w:rPr>
        <w:t>Scope</w:t>
      </w:r>
    </w:p>
    <w:p>
      <w:pPr>
        <w:spacing w:after="120"/>
        <w:jc w:val="both"/>
      </w:pPr>
      <w:r>
        <w:rPr>
          <w:rFonts w:ascii="Calibri" w:hAnsi="Calibri"/>
          <w:b w:val="0"/>
          <w:i w:val="0"/>
          <w:color w:val="1B2A32"/>
          <w:sz w:val="21"/>
        </w:rPr>
        <w:t xml:space="preserve">Equator processes some of the most sensitive personal data any dispute institution handles: matrimonial and child data, POSH complaints, financial distress, and health records. Because the five verticals run on one </w:t>
      </w:r>
      <w:r>
        <w:rPr>
          <w:rFonts w:ascii="Calibri" w:hAnsi="Calibri"/>
          <w:b/>
          <w:i w:val="0"/>
          <w:color w:val="1B2A32"/>
          <w:sz w:val="21"/>
        </w:rPr>
        <w:t>shared core</w:t>
      </w:r>
      <w:r>
        <w:rPr>
          <w:rFonts w:ascii="Calibri" w:hAnsi="Calibri"/>
          <w:b w:val="0"/>
          <w:i w:val="0"/>
          <w:color w:val="1B2A32"/>
          <w:sz w:val="21"/>
        </w:rPr>
        <w:t xml:space="preserve"> (see the Shared Platform Services Specification), the institution can — and must — run one consolidated Data Protection Impact Assessment and one security programme, rather than five. This pack is that programme.</w:t>
      </w:r>
    </w:p>
    <w:tbl>
      <w:tblPr>
        <w:tblW w:type="auto" w:w="0"/>
        <w:jc w:val="center"/>
        <w:tblLook w:firstColumn="1" w:firstRow="1" w:lastColumn="0" w:lastRow="0" w:noHBand="0" w:noVBand="1" w:val="04A0"/>
      </w:tblPr>
      <w:tblGrid>
        <w:gridCol w:w="9504"/>
      </w:tblGrid>
      <w:tr>
        <w:tc>
          <w:tcPr>
            <w:tcW w:type="dxa" w:w="9360"/>
            <w:shd w:val="clear" w:fill="F6E0E4"/>
            <w:tcBorders>
              <w:start w:val="single" w:sz="22" w:space="0" w:color="B23A48"/>
            </w:tcBorders>
          </w:tcPr>
          <w:p>
            <w:r>
              <w:rPr>
                <w:rFonts w:ascii="Calibri" w:hAnsi="Calibri"/>
                <w:b/>
                <w:i w:val="0"/>
                <w:color w:val="B23A48"/>
                <w:sz w:val="18"/>
              </w:rPr>
              <w:t>THE TWO SUB-STORES THAT DRIVE THE ASSESSMENT</w:t>
            </w:r>
          </w:p>
          <w:p>
            <w:r>
              <w:rPr>
                <w:rFonts w:ascii="Calibri" w:hAnsi="Calibri"/>
                <w:b w:val="0"/>
                <w:i w:val="0"/>
                <w:color w:val="1B2A32"/>
                <w:sz w:val="19"/>
              </w:rPr>
              <w:t xml:space="preserve">Two categories of data are treated as beyond the core: </w:t>
            </w:r>
            <w:r>
              <w:rPr>
                <w:rFonts w:ascii="Calibri" w:hAnsi="Calibri"/>
                <w:b/>
                <w:i w:val="0"/>
                <w:color w:val="1B2A32"/>
                <w:sz w:val="19"/>
              </w:rPr>
              <w:t>POSH</w:t>
            </w:r>
            <w:r>
              <w:rPr>
                <w:rFonts w:ascii="Calibri" w:hAnsi="Calibri"/>
                <w:b w:val="0"/>
                <w:i w:val="0"/>
                <w:color w:val="1B2A32"/>
                <w:sz w:val="19"/>
              </w:rPr>
              <w:t xml:space="preserve"> complaints (Workplace) and </w:t>
            </w:r>
            <w:r>
              <w:rPr>
                <w:rFonts w:ascii="Calibri" w:hAnsi="Calibri"/>
                <w:b/>
                <w:i w:val="0"/>
                <w:color w:val="1B2A32"/>
                <w:sz w:val="19"/>
              </w:rPr>
              <w:t>health</w:t>
            </w:r>
            <w:r>
              <w:rPr>
                <w:rFonts w:ascii="Calibri" w:hAnsi="Calibri"/>
                <w:b w:val="0"/>
                <w:i w:val="0"/>
                <w:color w:val="1B2A32"/>
                <w:sz w:val="19"/>
              </w:rPr>
              <w:t xml:space="preserve"> records (Insurance). Each lives in a separate schema with its own encryption key, referenced from the core only by an opaque token, access-logged on every read, and excluded from every analytics view and AI dataset. The DPIA residual-risk rating for the platform turns primarily on how well these two segregations hold.</w:t>
            </w:r>
          </w:p>
        </w:tc>
      </w:tr>
    </w:tbl>
    <w:p>
      <w:pPr>
        <w:spacing w:after="40"/>
      </w:pPr>
    </w:p>
    <w:p>
      <w:pPr>
        <w:keepNext/>
        <w:spacing w:before="280" w:after="120"/>
        <w:pBdr>
          <w:bottom w:val="single" w:sz="12" w:space="3" w:color="C6A15B"/>
        </w:pBdr>
      </w:pPr>
      <w:r>
        <w:rPr>
          <w:rFonts w:ascii="Calibri" w:hAnsi="Calibri"/>
          <w:b/>
          <w:i w:val="0"/>
          <w:color w:val="123B4F"/>
          <w:sz w:val="32"/>
        </w:rPr>
        <w:t>1.  Part 1 — Data Protection Impact Assessment (DPDP Act, 2023)</w:t>
      </w:r>
    </w:p>
    <w:p>
      <w:pPr>
        <w:keepNext/>
        <w:spacing w:before="200" w:after="60"/>
      </w:pPr>
      <w:r>
        <w:rPr>
          <w:rFonts w:ascii="Calibri" w:hAnsi="Calibri"/>
          <w:b/>
          <w:i w:val="0"/>
          <w:color w:val="1E7A8C"/>
          <w:sz w:val="25"/>
        </w:rPr>
        <w:t>1.1  1.1  Processing overview</w:t>
      </w:r>
    </w:p>
    <w:tbl>
      <w:tblPr>
        <w:tblStyle w:val="TableGrid"/>
        <w:tblW w:type="auto" w:w="0"/>
        <w:jc w:val="center"/>
        <w:tblLook w:firstColumn="1" w:firstRow="1" w:lastColumn="0" w:lastRow="0" w:noHBand="0" w:noVBand="1" w:val="04A0"/>
      </w:tblPr>
      <w:tblGrid>
        <w:gridCol w:w="4752"/>
        <w:gridCol w:w="4752"/>
      </w:tblGrid>
      <w:tr>
        <w:tc>
          <w:tcPr>
            <w:tcW w:type="dxa" w:w="37440"/>
            <w:shd w:val="clear" w:fill="123B4F"/>
          </w:tcPr>
          <w:p>
            <w:r/>
            <w:r>
              <w:rPr>
                <w:rFonts w:ascii="Calibri" w:hAnsi="Calibri"/>
                <w:b/>
                <w:i w:val="0"/>
                <w:color w:val="FFFFFF"/>
                <w:sz w:val="18"/>
              </w:rPr>
              <w:t>Question</w:t>
            </w:r>
          </w:p>
        </w:tc>
        <w:tc>
          <w:tcPr>
            <w:tcW w:type="dxa" w:w="106560"/>
            <w:shd w:val="clear" w:fill="123B4F"/>
          </w:tcPr>
          <w:p>
            <w:r/>
            <w:r>
              <w:rPr>
                <w:rFonts w:ascii="Calibri" w:hAnsi="Calibri"/>
                <w:b/>
                <w:i w:val="0"/>
                <w:color w:val="FFFFFF"/>
                <w:sz w:val="18"/>
              </w:rPr>
              <w:t>Answer</w:t>
            </w:r>
          </w:p>
        </w:tc>
      </w:tr>
      <w:tr>
        <w:tc>
          <w:tcPr>
            <w:tcW w:type="dxa" w:w="37440"/>
          </w:tcPr>
          <w:p>
            <w:r/>
            <w:r>
              <w:rPr>
                <w:rFonts w:ascii="Calibri" w:hAnsi="Calibri"/>
                <w:b w:val="0"/>
                <w:i w:val="0"/>
                <w:color w:val="1B2A32"/>
                <w:sz w:val="18"/>
              </w:rPr>
              <w:t>Who is the data fiduciary?</w:t>
            </w:r>
          </w:p>
        </w:tc>
        <w:tc>
          <w:tcPr>
            <w:tcW w:type="dxa" w:w="106560"/>
          </w:tcPr>
          <w:p>
            <w:r/>
            <w:r>
              <w:rPr>
                <w:rFonts w:ascii="Calibri" w:hAnsi="Calibri"/>
                <w:b w:val="0"/>
                <w:i w:val="0"/>
                <w:color w:val="1B2A32"/>
                <w:sz w:val="18"/>
              </w:rPr>
              <w:t>Equator Resolution (the operating entity)</w:t>
            </w:r>
          </w:p>
        </w:tc>
      </w:tr>
      <w:tr>
        <w:tc>
          <w:tcPr>
            <w:tcW w:type="dxa" w:w="37440"/>
            <w:shd w:val="clear" w:fill="F3F7F9"/>
          </w:tcPr>
          <w:p>
            <w:r/>
            <w:r>
              <w:rPr>
                <w:rFonts w:ascii="Calibri" w:hAnsi="Calibri"/>
                <w:b w:val="0"/>
                <w:i w:val="0"/>
                <w:color w:val="1B2A32"/>
                <w:sz w:val="18"/>
              </w:rPr>
              <w:t>What data?</w:t>
            </w:r>
          </w:p>
        </w:tc>
        <w:tc>
          <w:tcPr>
            <w:tcW w:type="dxa" w:w="106560"/>
            <w:shd w:val="clear" w:fill="F3F7F9"/>
          </w:tcPr>
          <w:p>
            <w:r/>
            <w:r>
              <w:rPr>
                <w:rFonts w:ascii="Calibri" w:hAnsi="Calibri"/>
                <w:b w:val="0"/>
                <w:i w:val="0"/>
                <w:color w:val="1B2A32"/>
                <w:sz w:val="18"/>
              </w:rPr>
              <w:t xml:space="preserve">Identity &amp; contact; dispute facts; financial data; </w:t>
            </w:r>
            <w:r>
              <w:rPr>
                <w:rFonts w:ascii="Calibri" w:hAnsi="Calibri"/>
                <w:b/>
                <w:i w:val="0"/>
                <w:color w:val="1B2A32"/>
                <w:sz w:val="18"/>
              </w:rPr>
              <w:t>children's data</w:t>
            </w:r>
            <w:r>
              <w:rPr>
                <w:rFonts w:ascii="Calibri" w:hAnsi="Calibri"/>
                <w:b w:val="0"/>
                <w:i w:val="0"/>
                <w:color w:val="1B2A32"/>
                <w:sz w:val="18"/>
              </w:rPr>
              <w:t xml:space="preserve"> (Family); </w:t>
            </w:r>
            <w:r>
              <w:rPr>
                <w:rFonts w:ascii="Calibri" w:hAnsi="Calibri"/>
                <w:b/>
                <w:i w:val="0"/>
                <w:color w:val="1B2A32"/>
                <w:sz w:val="18"/>
              </w:rPr>
              <w:t>POSH complaint data</w:t>
            </w:r>
            <w:r>
              <w:rPr>
                <w:rFonts w:ascii="Calibri" w:hAnsi="Calibri"/>
                <w:b w:val="0"/>
                <w:i w:val="0"/>
                <w:color w:val="1B2A32"/>
                <w:sz w:val="18"/>
              </w:rPr>
              <w:t xml:space="preserve"> (Workplace); </w:t>
            </w:r>
            <w:r>
              <w:rPr>
                <w:rFonts w:ascii="Calibri" w:hAnsi="Calibri"/>
                <w:b/>
                <w:i w:val="0"/>
                <w:color w:val="1B2A32"/>
                <w:sz w:val="18"/>
              </w:rPr>
              <w:t>health records</w:t>
            </w:r>
            <w:r>
              <w:rPr>
                <w:rFonts w:ascii="Calibri" w:hAnsi="Calibri"/>
                <w:b w:val="0"/>
                <w:i w:val="0"/>
                <w:color w:val="1B2A32"/>
                <w:sz w:val="18"/>
              </w:rPr>
              <w:t xml:space="preserve"> (Insurance)</w:t>
            </w:r>
          </w:p>
        </w:tc>
      </w:tr>
      <w:tr>
        <w:tc>
          <w:tcPr>
            <w:tcW w:type="dxa" w:w="37440"/>
          </w:tcPr>
          <w:p>
            <w:r/>
            <w:r>
              <w:rPr>
                <w:rFonts w:ascii="Calibri" w:hAnsi="Calibri"/>
                <w:b w:val="0"/>
                <w:i w:val="0"/>
                <w:color w:val="1B2A32"/>
                <w:sz w:val="18"/>
              </w:rPr>
              <w:t>Whose data?</w:t>
            </w:r>
          </w:p>
        </w:tc>
        <w:tc>
          <w:tcPr>
            <w:tcW w:type="dxa" w:w="106560"/>
          </w:tcPr>
          <w:p>
            <w:r/>
            <w:r>
              <w:rPr>
                <w:rFonts w:ascii="Calibri" w:hAnsi="Calibri"/>
                <w:b w:val="0"/>
                <w:i w:val="0"/>
                <w:color w:val="1B2A32"/>
                <w:sz w:val="18"/>
              </w:rPr>
              <w:t>Parties, their representatives, nominees/heirs, witnesses; children via verifiable parental consent</w:t>
            </w:r>
          </w:p>
        </w:tc>
      </w:tr>
      <w:tr>
        <w:tc>
          <w:tcPr>
            <w:tcW w:type="dxa" w:w="37440"/>
            <w:shd w:val="clear" w:fill="F3F7F9"/>
          </w:tcPr>
          <w:p>
            <w:r/>
            <w:r>
              <w:rPr>
                <w:rFonts w:ascii="Calibri" w:hAnsi="Calibri"/>
                <w:b w:val="0"/>
                <w:i w:val="0"/>
                <w:color w:val="1B2A32"/>
                <w:sz w:val="18"/>
              </w:rPr>
              <w:t>Purpose?</w:t>
            </w:r>
          </w:p>
        </w:tc>
        <w:tc>
          <w:tcPr>
            <w:tcW w:type="dxa" w:w="106560"/>
            <w:shd w:val="clear" w:fill="F3F7F9"/>
          </w:tcPr>
          <w:p>
            <w:r/>
            <w:r>
              <w:rPr>
                <w:rFonts w:ascii="Calibri" w:hAnsi="Calibri"/>
                <w:b w:val="0"/>
                <w:i w:val="0"/>
                <w:color w:val="1B2A32"/>
                <w:sz w:val="18"/>
              </w:rPr>
              <w:t>Administering the dispute — case management, neutral matching, drafting, escrow, settlement, registration, statutory compliance</w:t>
            </w:r>
          </w:p>
        </w:tc>
      </w:tr>
      <w:tr>
        <w:tc>
          <w:tcPr>
            <w:tcW w:type="dxa" w:w="37440"/>
          </w:tcPr>
          <w:p>
            <w:r/>
            <w:r>
              <w:rPr>
                <w:rFonts w:ascii="Calibri" w:hAnsi="Calibri"/>
                <w:b w:val="0"/>
                <w:i w:val="0"/>
                <w:color w:val="1B2A32"/>
                <w:sz w:val="18"/>
              </w:rPr>
              <w:t>Lawful basis?</w:t>
            </w:r>
          </w:p>
        </w:tc>
        <w:tc>
          <w:tcPr>
            <w:tcW w:type="dxa" w:w="106560"/>
          </w:tcPr>
          <w:p>
            <w:r/>
            <w:r>
              <w:rPr>
                <w:rFonts w:ascii="Calibri" w:hAnsi="Calibri"/>
                <w:b w:val="0"/>
                <w:i w:val="0"/>
                <w:color w:val="1B2A32"/>
                <w:sz w:val="18"/>
              </w:rPr>
              <w:t>Consent (primary); legal obligation (statutory records); no secondary use</w:t>
            </w:r>
          </w:p>
        </w:tc>
      </w:tr>
      <w:tr>
        <w:tc>
          <w:tcPr>
            <w:tcW w:type="dxa" w:w="37440"/>
            <w:shd w:val="clear" w:fill="F3F7F9"/>
          </w:tcPr>
          <w:p>
            <w:r/>
            <w:r>
              <w:rPr>
                <w:rFonts w:ascii="Calibri" w:hAnsi="Calibri"/>
                <w:b w:val="0"/>
                <w:i w:val="0"/>
                <w:color w:val="1B2A32"/>
                <w:sz w:val="18"/>
              </w:rPr>
              <w:t>Retention?</w:t>
            </w:r>
          </w:p>
        </w:tc>
        <w:tc>
          <w:tcPr>
            <w:tcW w:type="dxa" w:w="106560"/>
            <w:shd w:val="clear" w:fill="F3F7F9"/>
          </w:tcPr>
          <w:p>
            <w:r/>
            <w:r>
              <w:rPr>
                <w:rFonts w:ascii="Calibri" w:hAnsi="Calibri"/>
                <w:b w:val="0"/>
                <w:i w:val="0"/>
                <w:color w:val="1B2A32"/>
                <w:sz w:val="18"/>
              </w:rPr>
              <w:t>Per the retention schedule; health and POSH on the shortest classes; erasure confirmed at closure</w:t>
            </w:r>
          </w:p>
        </w:tc>
      </w:tr>
      <w:tr>
        <w:tc>
          <w:tcPr>
            <w:tcW w:type="dxa" w:w="37440"/>
          </w:tcPr>
          <w:p>
            <w:r/>
            <w:r>
              <w:rPr>
                <w:rFonts w:ascii="Calibri" w:hAnsi="Calibri"/>
                <w:b w:val="0"/>
                <w:i w:val="0"/>
                <w:color w:val="1B2A32"/>
                <w:sz w:val="18"/>
              </w:rPr>
              <w:t>Cross-border?</w:t>
            </w:r>
          </w:p>
        </w:tc>
        <w:tc>
          <w:tcPr>
            <w:tcW w:type="dxa" w:w="106560"/>
          </w:tcPr>
          <w:p>
            <w:r/>
            <w:r>
              <w:rPr>
                <w:rFonts w:ascii="Calibri" w:hAnsi="Calibri"/>
                <w:b w:val="0"/>
                <w:i w:val="0"/>
                <w:color w:val="1B2A32"/>
                <w:sz w:val="18"/>
              </w:rPr>
              <w:t>No routine transfer; data resident in India [verify — hosting region]</w:t>
            </w:r>
          </w:p>
        </w:tc>
      </w:tr>
      <w:tr>
        <w:tc>
          <w:tcPr>
            <w:tcW w:type="dxa" w:w="37440"/>
            <w:shd w:val="clear" w:fill="F3F7F9"/>
          </w:tcPr>
          <w:p>
            <w:r/>
            <w:r>
              <w:rPr>
                <w:rFonts w:ascii="Calibri" w:hAnsi="Calibri"/>
                <w:b w:val="0"/>
                <w:i w:val="0"/>
                <w:color w:val="1B2A32"/>
                <w:sz w:val="18"/>
              </w:rPr>
              <w:t>Automated decisions?</w:t>
            </w:r>
          </w:p>
        </w:tc>
        <w:tc>
          <w:tcPr>
            <w:tcW w:type="dxa" w:w="106560"/>
            <w:shd w:val="clear" w:fill="F3F7F9"/>
          </w:tcPr>
          <w:p>
            <w:r/>
            <w:r>
              <w:rPr>
                <w:rFonts w:ascii="Calibri" w:hAnsi="Calibri"/>
                <w:b w:val="0"/>
                <w:i w:val="0"/>
                <w:color w:val="1B2A32"/>
                <w:sz w:val="18"/>
              </w:rPr>
              <w:t>None. The AI informs and drafts; it never decides, advises or routes on its own</w:t>
            </w:r>
          </w:p>
        </w:tc>
      </w:tr>
    </w:tbl>
    <w:p>
      <w:pPr>
        <w:spacing w:after="40"/>
      </w:pPr>
    </w:p>
    <w:p>
      <w:pPr>
        <w:keepNext/>
        <w:spacing w:before="200" w:after="60"/>
      </w:pPr>
      <w:r>
        <w:rPr>
          <w:rFonts w:ascii="Calibri" w:hAnsi="Calibri"/>
          <w:b/>
          <w:i w:val="0"/>
          <w:color w:val="1E7A8C"/>
          <w:sz w:val="25"/>
        </w:rPr>
        <w:t>1.2  1.2  Risk assessment (severity × likelihood, residual after controls)</w:t>
      </w:r>
    </w:p>
    <w:tbl>
      <w:tblPr>
        <w:tblStyle w:val="TableGrid"/>
        <w:tblW w:type="auto" w:w="0"/>
        <w:jc w:val="center"/>
        <w:tblLook w:firstColumn="1" w:firstRow="1" w:lastColumn="0" w:lastRow="0" w:noHBand="0" w:noVBand="1" w:val="04A0"/>
      </w:tblPr>
      <w:tblGrid>
        <w:gridCol w:w="2376"/>
        <w:gridCol w:w="2376"/>
        <w:gridCol w:w="2376"/>
        <w:gridCol w:w="2376"/>
      </w:tblGrid>
      <w:tr>
        <w:tc>
          <w:tcPr>
            <w:tcW w:type="dxa" w:w="43200"/>
            <w:shd w:val="clear" w:fill="123B4F"/>
          </w:tcPr>
          <w:p>
            <w:r/>
            <w:r>
              <w:rPr>
                <w:rFonts w:ascii="Calibri" w:hAnsi="Calibri"/>
                <w:b/>
                <w:i w:val="0"/>
                <w:color w:val="FFFFFF"/>
                <w:sz w:val="18"/>
              </w:rPr>
              <w:t>Risk</w:t>
            </w:r>
          </w:p>
        </w:tc>
        <w:tc>
          <w:tcPr>
            <w:tcW w:type="dxa" w:w="17280"/>
            <w:shd w:val="clear" w:fill="123B4F"/>
          </w:tcPr>
          <w:p>
            <w:r/>
            <w:r>
              <w:rPr>
                <w:rFonts w:ascii="Calibri" w:hAnsi="Calibri"/>
                <w:b/>
                <w:i w:val="0"/>
                <w:color w:val="FFFFFF"/>
                <w:sz w:val="18"/>
              </w:rPr>
              <w:t>Inherent</w:t>
            </w:r>
          </w:p>
        </w:tc>
        <w:tc>
          <w:tcPr>
            <w:tcW w:type="dxa" w:w="57600"/>
            <w:shd w:val="clear" w:fill="123B4F"/>
          </w:tcPr>
          <w:p>
            <w:r/>
            <w:r>
              <w:rPr>
                <w:rFonts w:ascii="Calibri" w:hAnsi="Calibri"/>
                <w:b/>
                <w:i w:val="0"/>
                <w:color w:val="FFFFFF"/>
                <w:sz w:val="18"/>
              </w:rPr>
              <w:t>Key controls</w:t>
            </w:r>
          </w:p>
        </w:tc>
        <w:tc>
          <w:tcPr>
            <w:tcW w:type="dxa" w:w="25920"/>
            <w:shd w:val="clear" w:fill="123B4F"/>
          </w:tcPr>
          <w:p>
            <w:r/>
            <w:r>
              <w:rPr>
                <w:rFonts w:ascii="Calibri" w:hAnsi="Calibri"/>
                <w:b/>
                <w:i w:val="0"/>
                <w:color w:val="FFFFFF"/>
                <w:sz w:val="18"/>
              </w:rPr>
              <w:t>Residual</w:t>
            </w:r>
          </w:p>
        </w:tc>
      </w:tr>
      <w:tr>
        <w:tc>
          <w:tcPr>
            <w:tcW w:type="dxa" w:w="43200"/>
          </w:tcPr>
          <w:p>
            <w:r/>
            <w:r>
              <w:rPr>
                <w:rFonts w:ascii="Calibri" w:hAnsi="Calibri"/>
                <w:b w:val="0"/>
                <w:i w:val="0"/>
                <w:color w:val="1B2A32"/>
                <w:sz w:val="18"/>
              </w:rPr>
              <w:t>Health-record breach or misuse (Insurance)</w:t>
            </w:r>
          </w:p>
        </w:tc>
        <w:tc>
          <w:tcPr>
            <w:tcW w:type="dxa" w:w="17280"/>
          </w:tcPr>
          <w:p>
            <w:r/>
            <w:r>
              <w:rPr>
                <w:rFonts w:ascii="Calibri" w:hAnsi="Calibri"/>
                <w:b w:val="0"/>
                <w:i w:val="0"/>
                <w:color w:val="1B2A32"/>
                <w:sz w:val="18"/>
              </w:rPr>
              <w:t>Severe</w:t>
            </w:r>
          </w:p>
        </w:tc>
        <w:tc>
          <w:tcPr>
            <w:tcW w:type="dxa" w:w="57600"/>
          </w:tcPr>
          <w:p>
            <w:r/>
            <w:r>
              <w:rPr>
                <w:rFonts w:ascii="Calibri" w:hAnsi="Calibri"/>
                <w:b w:val="0"/>
                <w:i w:val="0"/>
                <w:color w:val="1B2A32"/>
                <w:sz w:val="18"/>
              </w:rPr>
              <w:t>Separate `ins_health` schema &amp; key; field-level access; access log; analytics/AI exclusion; DPIA sign-off</w:t>
            </w:r>
          </w:p>
        </w:tc>
        <w:tc>
          <w:tcPr>
            <w:tcW w:type="dxa" w:w="25920"/>
          </w:tcPr>
          <w:p>
            <w:r/>
            <w:r>
              <w:rPr>
                <w:rFonts w:ascii="Calibri" w:hAnsi="Calibri"/>
                <w:b w:val="0"/>
                <w:i w:val="0"/>
                <w:color w:val="1B2A32"/>
                <w:sz w:val="18"/>
              </w:rPr>
              <w:t>Low–Medium</w:t>
            </w:r>
          </w:p>
        </w:tc>
      </w:tr>
      <w:tr>
        <w:tc>
          <w:tcPr>
            <w:tcW w:type="dxa" w:w="43200"/>
            <w:shd w:val="clear" w:fill="F3F7F9"/>
          </w:tcPr>
          <w:p>
            <w:r/>
            <w:r>
              <w:rPr>
                <w:rFonts w:ascii="Calibri" w:hAnsi="Calibri"/>
                <w:b w:val="0"/>
                <w:i w:val="0"/>
                <w:color w:val="1B2A32"/>
                <w:sz w:val="18"/>
              </w:rPr>
              <w:t>POSH-complaint exposure (Workplace)</w:t>
            </w:r>
          </w:p>
        </w:tc>
        <w:tc>
          <w:tcPr>
            <w:tcW w:type="dxa" w:w="17280"/>
            <w:shd w:val="clear" w:fill="F3F7F9"/>
          </w:tcPr>
          <w:p>
            <w:r/>
            <w:r>
              <w:rPr>
                <w:rFonts w:ascii="Calibri" w:hAnsi="Calibri"/>
                <w:b w:val="0"/>
                <w:i w:val="0"/>
                <w:color w:val="1B2A32"/>
                <w:sz w:val="18"/>
              </w:rPr>
              <w:t>Severe</w:t>
            </w:r>
          </w:p>
        </w:tc>
        <w:tc>
          <w:tcPr>
            <w:tcW w:type="dxa" w:w="57600"/>
            <w:shd w:val="clear" w:fill="F3F7F9"/>
          </w:tcPr>
          <w:p>
            <w:r/>
            <w:r>
              <w:rPr>
                <w:rFonts w:ascii="Calibri" w:hAnsi="Calibri"/>
                <w:b w:val="0"/>
                <w:i w:val="0"/>
                <w:color w:val="1B2A32"/>
                <w:sz w:val="18"/>
              </w:rPr>
              <w:t>Separate `workplace_posh` schema &amp; key; s.16 confidentiality; sealed access</w:t>
            </w:r>
          </w:p>
        </w:tc>
        <w:tc>
          <w:tcPr>
            <w:tcW w:type="dxa" w:w="25920"/>
            <w:shd w:val="clear" w:fill="F3F7F9"/>
          </w:tcPr>
          <w:p>
            <w:r/>
            <w:r>
              <w:rPr>
                <w:rFonts w:ascii="Calibri" w:hAnsi="Calibri"/>
                <w:b w:val="0"/>
                <w:i w:val="0"/>
                <w:color w:val="1B2A32"/>
                <w:sz w:val="18"/>
              </w:rPr>
              <w:t>Low–Medium</w:t>
            </w:r>
          </w:p>
        </w:tc>
      </w:tr>
      <w:tr>
        <w:tc>
          <w:tcPr>
            <w:tcW w:type="dxa" w:w="43200"/>
          </w:tcPr>
          <w:p>
            <w:r/>
            <w:r>
              <w:rPr>
                <w:rFonts w:ascii="Calibri" w:hAnsi="Calibri"/>
                <w:b w:val="0"/>
                <w:i w:val="0"/>
                <w:color w:val="1B2A32"/>
                <w:sz w:val="18"/>
              </w:rPr>
              <w:t>Children's data misuse (Family)</w:t>
            </w:r>
          </w:p>
        </w:tc>
        <w:tc>
          <w:tcPr>
            <w:tcW w:type="dxa" w:w="17280"/>
          </w:tcPr>
          <w:p>
            <w:r/>
            <w:r>
              <w:rPr>
                <w:rFonts w:ascii="Calibri" w:hAnsi="Calibri"/>
                <w:b w:val="0"/>
                <w:i w:val="0"/>
                <w:color w:val="1B2A32"/>
                <w:sz w:val="18"/>
              </w:rPr>
              <w:t>Severe</w:t>
            </w:r>
          </w:p>
        </w:tc>
        <w:tc>
          <w:tcPr>
            <w:tcW w:type="dxa" w:w="57600"/>
          </w:tcPr>
          <w:p>
            <w:r/>
            <w:r>
              <w:rPr>
                <w:rFonts w:ascii="Calibri" w:hAnsi="Calibri"/>
                <w:b w:val="0"/>
                <w:i w:val="0"/>
                <w:color w:val="1B2A32"/>
                <w:sz w:val="18"/>
              </w:rPr>
              <w:t>Verifiable parental consent; minimisation; access wall</w:t>
            </w:r>
          </w:p>
        </w:tc>
        <w:tc>
          <w:tcPr>
            <w:tcW w:type="dxa" w:w="25920"/>
          </w:tcPr>
          <w:p>
            <w:r/>
            <w:r>
              <w:rPr>
                <w:rFonts w:ascii="Calibri" w:hAnsi="Calibri"/>
                <w:b w:val="0"/>
                <w:i w:val="0"/>
                <w:color w:val="1B2A32"/>
                <w:sz w:val="18"/>
              </w:rPr>
              <w:t>Low–Medium</w:t>
            </w:r>
          </w:p>
        </w:tc>
      </w:tr>
      <w:tr>
        <w:tc>
          <w:tcPr>
            <w:tcW w:type="dxa" w:w="43200"/>
            <w:shd w:val="clear" w:fill="F3F7F9"/>
          </w:tcPr>
          <w:p>
            <w:r/>
            <w:r>
              <w:rPr>
                <w:rFonts w:ascii="Calibri" w:hAnsi="Calibri"/>
                <w:b w:val="0"/>
                <w:i w:val="0"/>
                <w:color w:val="1B2A32"/>
                <w:sz w:val="18"/>
              </w:rPr>
              <w:t>Caucus / private-session leakage (all)</w:t>
            </w:r>
          </w:p>
        </w:tc>
        <w:tc>
          <w:tcPr>
            <w:tcW w:type="dxa" w:w="17280"/>
            <w:shd w:val="clear" w:fill="F3F7F9"/>
          </w:tcPr>
          <w:p>
            <w:r/>
            <w:r>
              <w:rPr>
                <w:rFonts w:ascii="Calibri" w:hAnsi="Calibri"/>
                <w:b w:val="0"/>
                <w:i w:val="0"/>
                <w:color w:val="1B2A32"/>
                <w:sz w:val="18"/>
              </w:rPr>
              <w:t>High</w:t>
            </w:r>
          </w:p>
        </w:tc>
        <w:tc>
          <w:tcPr>
            <w:tcW w:type="dxa" w:w="57600"/>
            <w:shd w:val="clear" w:fill="F3F7F9"/>
          </w:tcPr>
          <w:p>
            <w:r/>
            <w:r>
              <w:rPr>
                <w:rFonts w:ascii="Calibri" w:hAnsi="Calibri"/>
                <w:b w:val="0"/>
                <w:i w:val="0"/>
                <w:color w:val="1B2A32"/>
                <w:sz w:val="18"/>
              </w:rPr>
              <w:t>Row-level security sealing notes to the neutral; no cross-party path</w:t>
            </w:r>
          </w:p>
        </w:tc>
        <w:tc>
          <w:tcPr>
            <w:tcW w:type="dxa" w:w="25920"/>
            <w:shd w:val="clear" w:fill="F3F7F9"/>
          </w:tcPr>
          <w:p>
            <w:r/>
            <w:r>
              <w:rPr>
                <w:rFonts w:ascii="Calibri" w:hAnsi="Calibri"/>
                <w:b w:val="0"/>
                <w:i w:val="0"/>
                <w:color w:val="1B2A32"/>
                <w:sz w:val="18"/>
              </w:rPr>
              <w:t>Low</w:t>
            </w:r>
          </w:p>
        </w:tc>
      </w:tr>
      <w:tr>
        <w:tc>
          <w:tcPr>
            <w:tcW w:type="dxa" w:w="43200"/>
          </w:tcPr>
          <w:p>
            <w:r/>
            <w:r>
              <w:rPr>
                <w:rFonts w:ascii="Calibri" w:hAnsi="Calibri"/>
                <w:b w:val="0"/>
                <w:i w:val="0"/>
                <w:color w:val="1B2A32"/>
                <w:sz w:val="18"/>
              </w:rPr>
              <w:t>Financial-distress data (Financial)</w:t>
            </w:r>
          </w:p>
        </w:tc>
        <w:tc>
          <w:tcPr>
            <w:tcW w:type="dxa" w:w="17280"/>
          </w:tcPr>
          <w:p>
            <w:r/>
            <w:r>
              <w:rPr>
                <w:rFonts w:ascii="Calibri" w:hAnsi="Calibri"/>
                <w:b w:val="0"/>
                <w:i w:val="0"/>
                <w:color w:val="1B2A32"/>
                <w:sz w:val="18"/>
              </w:rPr>
              <w:t>High</w:t>
            </w:r>
          </w:p>
        </w:tc>
        <w:tc>
          <w:tcPr>
            <w:tcW w:type="dxa" w:w="57600"/>
          </w:tcPr>
          <w:p>
            <w:r/>
            <w:r>
              <w:rPr>
                <w:rFonts w:ascii="Calibri" w:hAnsi="Calibri"/>
                <w:b w:val="0"/>
                <w:i w:val="0"/>
                <w:color w:val="1B2A32"/>
                <w:sz w:val="18"/>
              </w:rPr>
              <w:t>Masking; RBAC; recovery-conduct limits</w:t>
            </w:r>
          </w:p>
        </w:tc>
        <w:tc>
          <w:tcPr>
            <w:tcW w:type="dxa" w:w="25920"/>
          </w:tcPr>
          <w:p>
            <w:r/>
            <w:r>
              <w:rPr>
                <w:rFonts w:ascii="Calibri" w:hAnsi="Calibri"/>
                <w:b w:val="0"/>
                <w:i w:val="0"/>
                <w:color w:val="1B2A32"/>
                <w:sz w:val="18"/>
              </w:rPr>
              <w:t>Low</w:t>
            </w:r>
          </w:p>
        </w:tc>
      </w:tr>
      <w:tr>
        <w:tc>
          <w:tcPr>
            <w:tcW w:type="dxa" w:w="43200"/>
            <w:shd w:val="clear" w:fill="F3F7F9"/>
          </w:tcPr>
          <w:p>
            <w:r/>
            <w:r>
              <w:rPr>
                <w:rFonts w:ascii="Calibri" w:hAnsi="Calibri"/>
                <w:b w:val="0"/>
                <w:i w:val="0"/>
                <w:color w:val="1B2A32"/>
                <w:sz w:val="18"/>
              </w:rPr>
              <w:t>Cross-vertical data bleed</w:t>
            </w:r>
          </w:p>
        </w:tc>
        <w:tc>
          <w:tcPr>
            <w:tcW w:type="dxa" w:w="17280"/>
            <w:shd w:val="clear" w:fill="F3F7F9"/>
          </w:tcPr>
          <w:p>
            <w:r/>
            <w:r>
              <w:rPr>
                <w:rFonts w:ascii="Calibri" w:hAnsi="Calibri"/>
                <w:b w:val="0"/>
                <w:i w:val="0"/>
                <w:color w:val="1B2A32"/>
                <w:sz w:val="18"/>
              </w:rPr>
              <w:t>High</w:t>
            </w:r>
          </w:p>
        </w:tc>
        <w:tc>
          <w:tcPr>
            <w:tcW w:type="dxa" w:w="57600"/>
            <w:shd w:val="clear" w:fill="F3F7F9"/>
          </w:tcPr>
          <w:p>
            <w:r/>
            <w:r>
              <w:rPr>
                <w:rFonts w:ascii="Calibri" w:hAnsi="Calibri"/>
                <w:b w:val="0"/>
                <w:i w:val="0"/>
                <w:color w:val="1B2A32"/>
                <w:sz w:val="18"/>
              </w:rPr>
              <w:t>Core/extension separation; sub-stores by token only</w:t>
            </w:r>
          </w:p>
        </w:tc>
        <w:tc>
          <w:tcPr>
            <w:tcW w:type="dxa" w:w="25920"/>
            <w:shd w:val="clear" w:fill="F3F7F9"/>
          </w:tcPr>
          <w:p>
            <w:r/>
            <w:r>
              <w:rPr>
                <w:rFonts w:ascii="Calibri" w:hAnsi="Calibri"/>
                <w:b w:val="0"/>
                <w:i w:val="0"/>
                <w:color w:val="1B2A32"/>
                <w:sz w:val="18"/>
              </w:rPr>
              <w:t>Low</w:t>
            </w:r>
          </w:p>
        </w:tc>
      </w:tr>
      <w:tr>
        <w:tc>
          <w:tcPr>
            <w:tcW w:type="dxa" w:w="43200"/>
          </w:tcPr>
          <w:p>
            <w:r/>
            <w:r>
              <w:rPr>
                <w:rFonts w:ascii="Calibri" w:hAnsi="Calibri"/>
                <w:b w:val="0"/>
                <w:i w:val="0"/>
                <w:color w:val="1B2A32"/>
                <w:sz w:val="18"/>
              </w:rPr>
              <w:t>AI training on party data</w:t>
            </w:r>
          </w:p>
        </w:tc>
        <w:tc>
          <w:tcPr>
            <w:tcW w:type="dxa" w:w="17280"/>
          </w:tcPr>
          <w:p>
            <w:r/>
            <w:r>
              <w:rPr>
                <w:rFonts w:ascii="Calibri" w:hAnsi="Calibri"/>
                <w:b w:val="0"/>
                <w:i w:val="0"/>
                <w:color w:val="1B2A32"/>
                <w:sz w:val="18"/>
              </w:rPr>
              <w:t>High</w:t>
            </w:r>
          </w:p>
        </w:tc>
        <w:tc>
          <w:tcPr>
            <w:tcW w:type="dxa" w:w="57600"/>
          </w:tcPr>
          <w:p>
            <w:r/>
            <w:r>
              <w:rPr>
                <w:rFonts w:ascii="Calibri" w:hAnsi="Calibri"/>
                <w:b w:val="0"/>
                <w:i w:val="0"/>
                <w:color w:val="1B2A32"/>
                <w:sz w:val="18"/>
              </w:rPr>
              <w:t>Prohibited; no credential to sensitive stores; allow-listed prompts</w:t>
            </w:r>
          </w:p>
        </w:tc>
        <w:tc>
          <w:tcPr>
            <w:tcW w:type="dxa" w:w="25920"/>
          </w:tcPr>
          <w:p>
            <w:r/>
            <w:r>
              <w:rPr>
                <w:rFonts w:ascii="Calibri" w:hAnsi="Calibri"/>
                <w:b w:val="0"/>
                <w:i w:val="0"/>
                <w:color w:val="1B2A32"/>
                <w:sz w:val="18"/>
              </w:rPr>
              <w:t>Low</w:t>
            </w:r>
          </w:p>
        </w:tc>
      </w:tr>
      <w:tr>
        <w:tc>
          <w:tcPr>
            <w:tcW w:type="dxa" w:w="43200"/>
            <w:shd w:val="clear" w:fill="F3F7F9"/>
          </w:tcPr>
          <w:p>
            <w:r/>
            <w:r>
              <w:rPr>
                <w:rFonts w:ascii="Calibri" w:hAnsi="Calibri"/>
                <w:b w:val="0"/>
                <w:i w:val="0"/>
                <w:color w:val="1B2A32"/>
                <w:sz w:val="18"/>
              </w:rPr>
              <w:t>Notification leakage (subject line/SMS)</w:t>
            </w:r>
          </w:p>
        </w:tc>
        <w:tc>
          <w:tcPr>
            <w:tcW w:type="dxa" w:w="17280"/>
            <w:shd w:val="clear" w:fill="F3F7F9"/>
          </w:tcPr>
          <w:p>
            <w:r/>
            <w:r>
              <w:rPr>
                <w:rFonts w:ascii="Calibri" w:hAnsi="Calibri"/>
                <w:b w:val="0"/>
                <w:i w:val="0"/>
                <w:color w:val="1B2A32"/>
                <w:sz w:val="18"/>
              </w:rPr>
              <w:t>Medium</w:t>
            </w:r>
          </w:p>
        </w:tc>
        <w:tc>
          <w:tcPr>
            <w:tcW w:type="dxa" w:w="57600"/>
            <w:shd w:val="clear" w:fill="F3F7F9"/>
          </w:tcPr>
          <w:p>
            <w:r/>
            <w:r>
              <w:rPr>
                <w:rFonts w:ascii="Calibri" w:hAnsi="Calibri"/>
                <w:b w:val="0"/>
                <w:i w:val="0"/>
                <w:color w:val="1B2A32"/>
                <w:sz w:val="18"/>
              </w:rPr>
              <w:t>Template lint blocks sensitive fields</w:t>
            </w:r>
          </w:p>
        </w:tc>
        <w:tc>
          <w:tcPr>
            <w:tcW w:type="dxa" w:w="25920"/>
            <w:shd w:val="clear" w:fill="F3F7F9"/>
          </w:tcPr>
          <w:p>
            <w:r/>
            <w:r>
              <w:rPr>
                <w:rFonts w:ascii="Calibri" w:hAnsi="Calibri"/>
                <w:b w:val="0"/>
                <w:i w:val="0"/>
                <w:color w:val="1B2A32"/>
                <w:sz w:val="18"/>
              </w:rPr>
              <w:t>Low</w:t>
            </w:r>
          </w:p>
        </w:tc>
      </w:tr>
      <w:tr>
        <w:tc>
          <w:tcPr>
            <w:tcW w:type="dxa" w:w="43200"/>
          </w:tcPr>
          <w:p>
            <w:r/>
            <w:r>
              <w:rPr>
                <w:rFonts w:ascii="Calibri" w:hAnsi="Calibri"/>
                <w:b w:val="0"/>
                <w:i w:val="0"/>
                <w:color w:val="1B2A32"/>
                <w:sz w:val="18"/>
              </w:rPr>
              <w:t>Vendor / sub-processor breach</w:t>
            </w:r>
          </w:p>
        </w:tc>
        <w:tc>
          <w:tcPr>
            <w:tcW w:type="dxa" w:w="17280"/>
          </w:tcPr>
          <w:p>
            <w:r/>
            <w:r>
              <w:rPr>
                <w:rFonts w:ascii="Calibri" w:hAnsi="Calibri"/>
                <w:b w:val="0"/>
                <w:i w:val="0"/>
                <w:color w:val="1B2A32"/>
                <w:sz w:val="18"/>
              </w:rPr>
              <w:t>Medium</w:t>
            </w:r>
          </w:p>
        </w:tc>
        <w:tc>
          <w:tcPr>
            <w:tcW w:type="dxa" w:w="57600"/>
          </w:tcPr>
          <w:p>
            <w:r/>
            <w:r>
              <w:rPr>
                <w:rFonts w:ascii="Calibri" w:hAnsi="Calibri"/>
                <w:b w:val="0"/>
                <w:i w:val="0"/>
                <w:color w:val="1B2A32"/>
                <w:sz w:val="18"/>
              </w:rPr>
              <w:t>DPAs; least privilege; audit</w:t>
            </w:r>
          </w:p>
        </w:tc>
        <w:tc>
          <w:tcPr>
            <w:tcW w:type="dxa" w:w="25920"/>
          </w:tcPr>
          <w:p>
            <w:r/>
            <w:r>
              <w:rPr>
                <w:rFonts w:ascii="Calibri" w:hAnsi="Calibri"/>
                <w:b w:val="0"/>
                <w:i w:val="0"/>
                <w:color w:val="1B2A32"/>
                <w:sz w:val="18"/>
              </w:rPr>
              <w:t>Low–Medium</w:t>
            </w:r>
          </w:p>
        </w:tc>
      </w:tr>
      <w:tr>
        <w:tc>
          <w:tcPr>
            <w:tcW w:type="dxa" w:w="43200"/>
            <w:shd w:val="clear" w:fill="F3F7F9"/>
          </w:tcPr>
          <w:p>
            <w:r/>
            <w:r>
              <w:rPr>
                <w:rFonts w:ascii="Calibri" w:hAnsi="Calibri"/>
                <w:b w:val="0"/>
                <w:i w:val="0"/>
                <w:color w:val="1B2A32"/>
                <w:sz w:val="18"/>
              </w:rPr>
              <w:t>Re-identification from analytics</w:t>
            </w:r>
          </w:p>
        </w:tc>
        <w:tc>
          <w:tcPr>
            <w:tcW w:type="dxa" w:w="17280"/>
            <w:shd w:val="clear" w:fill="F3F7F9"/>
          </w:tcPr>
          <w:p>
            <w:r/>
            <w:r>
              <w:rPr>
                <w:rFonts w:ascii="Calibri" w:hAnsi="Calibri"/>
                <w:b w:val="0"/>
                <w:i w:val="0"/>
                <w:color w:val="1B2A32"/>
                <w:sz w:val="18"/>
              </w:rPr>
              <w:t>Medium</w:t>
            </w:r>
          </w:p>
        </w:tc>
        <w:tc>
          <w:tcPr>
            <w:tcW w:type="dxa" w:w="57600"/>
            <w:shd w:val="clear" w:fill="F3F7F9"/>
          </w:tcPr>
          <w:p>
            <w:r/>
            <w:r>
              <w:rPr>
                <w:rFonts w:ascii="Calibri" w:hAnsi="Calibri"/>
                <w:b w:val="0"/>
                <w:i w:val="0"/>
                <w:color w:val="1B2A32"/>
                <w:sz w:val="18"/>
              </w:rPr>
              <w:t>Aggregation; sensitive stores excluded by construction</w:t>
            </w:r>
          </w:p>
        </w:tc>
        <w:tc>
          <w:tcPr>
            <w:tcW w:type="dxa" w:w="25920"/>
            <w:shd w:val="clear" w:fill="F3F7F9"/>
          </w:tcPr>
          <w:p>
            <w:r/>
            <w:r>
              <w:rPr>
                <w:rFonts w:ascii="Calibri" w:hAnsi="Calibri"/>
                <w:b w:val="0"/>
                <w:i w:val="0"/>
                <w:color w:val="1B2A32"/>
                <w:sz w:val="18"/>
              </w:rPr>
              <w:t>Low</w:t>
            </w:r>
          </w:p>
        </w:tc>
      </w:tr>
    </w:tbl>
    <w:p>
      <w:pPr>
        <w:spacing w:after="40"/>
      </w:pPr>
    </w:p>
    <w:p>
      <w:pPr>
        <w:keepNext/>
        <w:spacing w:before="200" w:after="60"/>
      </w:pPr>
      <w:r>
        <w:rPr>
          <w:rFonts w:ascii="Calibri" w:hAnsi="Calibri"/>
          <w:b/>
          <w:i w:val="0"/>
          <w:color w:val="1E7A8C"/>
          <w:sz w:val="25"/>
        </w:rPr>
        <w:t>1.3  1.3  Data-subject rights</w:t>
      </w:r>
    </w:p>
    <w:p>
      <w:pPr>
        <w:pStyle w:val="ListBullet"/>
        <w:spacing w:after="60"/>
        <w:jc w:val="both"/>
      </w:pPr>
      <w:r>
        <w:rPr>
          <w:rFonts w:ascii="Calibri" w:hAnsi="Calibri"/>
          <w:b/>
          <w:i w:val="0"/>
          <w:color w:val="1B2A32"/>
          <w:sz w:val="21"/>
        </w:rPr>
        <w:t>Access, correction, erasure, and withdrawal of consent</w:t>
      </w:r>
      <w:r>
        <w:rPr>
          <w:rFonts w:ascii="Calibri" w:hAnsi="Calibri"/>
          <w:b w:val="0"/>
          <w:i w:val="0"/>
          <w:color w:val="1B2A32"/>
          <w:sz w:val="21"/>
        </w:rPr>
        <w:t xml:space="preserve"> are honoured through the party portal and the Grievance / Data Protection Officer.</w:t>
      </w:r>
    </w:p>
    <w:p>
      <w:pPr>
        <w:pStyle w:val="ListBullet"/>
        <w:spacing w:after="60"/>
        <w:jc w:val="both"/>
      </w:pPr>
      <w:r>
        <w:rPr>
          <w:rFonts w:ascii="Calibri" w:hAnsi="Calibri"/>
          <w:b/>
          <w:i w:val="0"/>
          <w:color w:val="1B2A32"/>
          <w:sz w:val="21"/>
        </w:rPr>
        <w:t>Withdrawal</w:t>
      </w:r>
      <w:r>
        <w:rPr>
          <w:rFonts w:ascii="Calibri" w:hAnsi="Calibri"/>
          <w:b w:val="0"/>
          <w:i w:val="0"/>
          <w:color w:val="1B2A32"/>
          <w:sz w:val="21"/>
        </w:rPr>
        <w:t xml:space="preserve"> is honoured with a plain warning that it may end Equator's ability to continue, and the party's other remedies are re-signposted.</w:t>
      </w:r>
    </w:p>
    <w:p>
      <w:pPr>
        <w:pStyle w:val="ListBullet"/>
        <w:spacing w:after="60"/>
        <w:jc w:val="both"/>
      </w:pPr>
      <w:r>
        <w:rPr>
          <w:rFonts w:ascii="Calibri" w:hAnsi="Calibri"/>
          <w:b/>
          <w:i w:val="0"/>
          <w:color w:val="1B2A32"/>
          <w:sz w:val="21"/>
        </w:rPr>
        <w:t>Nomination</w:t>
      </w:r>
      <w:r>
        <w:rPr>
          <w:rFonts w:ascii="Calibri" w:hAnsi="Calibri"/>
          <w:b w:val="0"/>
          <w:i w:val="0"/>
          <w:color w:val="1B2A32"/>
          <w:sz w:val="21"/>
        </w:rPr>
        <w:t xml:space="preserve"> of a person to exercise rights on death/incapacity is supported.</w:t>
      </w:r>
    </w:p>
    <w:p>
      <w:pPr>
        <w:pStyle w:val="ListBullet"/>
        <w:spacing w:after="60"/>
        <w:jc w:val="both"/>
      </w:pPr>
      <w:r>
        <w:rPr>
          <w:rFonts w:ascii="Calibri" w:hAnsi="Calibri"/>
          <w:b/>
          <w:i w:val="0"/>
          <w:color w:val="1B2A32"/>
          <w:sz w:val="21"/>
        </w:rPr>
        <w:t>Grievance</w:t>
      </w:r>
      <w:r>
        <w:rPr>
          <w:rFonts w:ascii="Calibri" w:hAnsi="Calibri"/>
          <w:b w:val="0"/>
          <w:i w:val="0"/>
          <w:color w:val="1B2A32"/>
          <w:sz w:val="21"/>
        </w:rPr>
        <w:t xml:space="preserve"> to the DPO at grievance@equatorresolution.com within the prescribed period; escalation to the Data Protection Board as required.</w:t>
      </w:r>
    </w:p>
    <w:p>
      <w:pPr>
        <w:keepNext/>
        <w:spacing w:before="280" w:after="120"/>
        <w:pBdr>
          <w:bottom w:val="single" w:sz="12" w:space="3" w:color="C6A15B"/>
        </w:pBdr>
      </w:pPr>
      <w:r>
        <w:rPr>
          <w:rFonts w:ascii="Calibri" w:hAnsi="Calibri"/>
          <w:b/>
          <w:i w:val="0"/>
          <w:color w:val="123B4F"/>
          <w:sz w:val="32"/>
        </w:rPr>
        <w:t>2.  Part 2 — Threat model</w:t>
      </w:r>
    </w:p>
    <w:p>
      <w:pPr>
        <w:spacing w:after="120"/>
        <w:jc w:val="both"/>
      </w:pPr>
      <w:r>
        <w:rPr>
          <w:rFonts w:ascii="Calibri" w:hAnsi="Calibri"/>
          <w:b w:val="0"/>
          <w:i w:val="0"/>
          <w:color w:val="1B2A32"/>
          <w:sz w:val="21"/>
        </w:rPr>
        <w:t>A STRIDE-style model over the shared core and the two sub-stores. The highest-value asset is not money — escrow never touches Equator's accounts — it is the sensitive data and the integrity of the neutral process.</w:t>
      </w:r>
    </w:p>
    <w:tbl>
      <w:tblPr>
        <w:tblStyle w:val="TableGrid"/>
        <w:tblW w:type="auto" w:w="0"/>
        <w:jc w:val="center"/>
        <w:tblLook w:firstColumn="1" w:firstRow="1" w:lastColumn="0" w:lastRow="0" w:noHBand="0" w:noVBand="1" w:val="04A0"/>
      </w:tblPr>
      <w:tblGrid>
        <w:gridCol w:w="3168"/>
        <w:gridCol w:w="3168"/>
        <w:gridCol w:w="3168"/>
      </w:tblGrid>
      <w:tr>
        <w:tc>
          <w:tcPr>
            <w:tcW w:type="dxa" w:w="25920"/>
            <w:shd w:val="clear" w:fill="123B4F"/>
          </w:tcPr>
          <w:p>
            <w:r/>
            <w:r>
              <w:rPr>
                <w:rFonts w:ascii="Calibri" w:hAnsi="Calibri"/>
                <w:b/>
                <w:i w:val="0"/>
                <w:color w:val="FFFFFF"/>
                <w:sz w:val="18"/>
              </w:rPr>
              <w:t>Threat</w:t>
            </w:r>
          </w:p>
        </w:tc>
        <w:tc>
          <w:tcPr>
            <w:tcW w:type="dxa" w:w="48960"/>
            <w:shd w:val="clear" w:fill="123B4F"/>
          </w:tcPr>
          <w:p>
            <w:r/>
            <w:r>
              <w:rPr>
                <w:rFonts w:ascii="Calibri" w:hAnsi="Calibri"/>
                <w:b/>
                <w:i w:val="0"/>
                <w:color w:val="FFFFFF"/>
                <w:sz w:val="18"/>
              </w:rPr>
              <w:t>Example</w:t>
            </w:r>
          </w:p>
        </w:tc>
        <w:tc>
          <w:tcPr>
            <w:tcW w:type="dxa" w:w="69120"/>
            <w:shd w:val="clear" w:fill="123B4F"/>
          </w:tcPr>
          <w:p>
            <w:r/>
            <w:r>
              <w:rPr>
                <w:rFonts w:ascii="Calibri" w:hAnsi="Calibri"/>
                <w:b/>
                <w:i w:val="0"/>
                <w:color w:val="FFFFFF"/>
                <w:sz w:val="18"/>
              </w:rPr>
              <w:t>Mitigation</w:t>
            </w:r>
          </w:p>
        </w:tc>
      </w:tr>
      <w:tr>
        <w:tc>
          <w:tcPr>
            <w:tcW w:type="dxa" w:w="25920"/>
          </w:tcPr>
          <w:p>
            <w:r/>
            <w:r>
              <w:rPr>
                <w:rFonts w:ascii="Calibri" w:hAnsi="Calibri"/>
                <w:b w:val="0"/>
                <w:i w:val="0"/>
                <w:color w:val="1B2A32"/>
                <w:sz w:val="18"/>
              </w:rPr>
              <w:t>Spoofing</w:t>
            </w:r>
          </w:p>
        </w:tc>
        <w:tc>
          <w:tcPr>
            <w:tcW w:type="dxa" w:w="48960"/>
          </w:tcPr>
          <w:p>
            <w:r/>
            <w:r>
              <w:rPr>
                <w:rFonts w:ascii="Calibri" w:hAnsi="Calibri"/>
                <w:b w:val="0"/>
                <w:i w:val="0"/>
                <w:color w:val="1B2A32"/>
                <w:sz w:val="18"/>
              </w:rPr>
              <w:t>Impersonating a party to access a case</w:t>
            </w:r>
          </w:p>
        </w:tc>
        <w:tc>
          <w:tcPr>
            <w:tcW w:type="dxa" w:w="69120"/>
          </w:tcPr>
          <w:p>
            <w:r/>
            <w:r>
              <w:rPr>
                <w:rFonts w:ascii="Calibri" w:hAnsi="Calibri"/>
                <w:b w:val="0"/>
                <w:i w:val="0"/>
                <w:color w:val="1B2A32"/>
                <w:sz w:val="18"/>
              </w:rPr>
              <w:t>Aadhaar e-KYC / video verification; MFA; assignment-scoped access</w:t>
            </w:r>
          </w:p>
        </w:tc>
      </w:tr>
      <w:tr>
        <w:tc>
          <w:tcPr>
            <w:tcW w:type="dxa" w:w="25920"/>
            <w:shd w:val="clear" w:fill="F3F7F9"/>
          </w:tcPr>
          <w:p>
            <w:r/>
            <w:r>
              <w:rPr>
                <w:rFonts w:ascii="Calibri" w:hAnsi="Calibri"/>
                <w:b w:val="0"/>
                <w:i w:val="0"/>
                <w:color w:val="1B2A32"/>
                <w:sz w:val="18"/>
              </w:rPr>
              <w:t>Tampering</w:t>
            </w:r>
          </w:p>
        </w:tc>
        <w:tc>
          <w:tcPr>
            <w:tcW w:type="dxa" w:w="48960"/>
            <w:shd w:val="clear" w:fill="F3F7F9"/>
          </w:tcPr>
          <w:p>
            <w:r/>
            <w:r>
              <w:rPr>
                <w:rFonts w:ascii="Calibri" w:hAnsi="Calibri"/>
                <w:b w:val="0"/>
                <w:i w:val="0"/>
                <w:color w:val="1B2A32"/>
                <w:sz w:val="18"/>
              </w:rPr>
              <w:t>Altering a settlement or an audit record</w:t>
            </w:r>
          </w:p>
        </w:tc>
        <w:tc>
          <w:tcPr>
            <w:tcW w:type="dxa" w:w="69120"/>
            <w:shd w:val="clear" w:fill="F3F7F9"/>
          </w:tcPr>
          <w:p>
            <w:r/>
            <w:r>
              <w:rPr>
                <w:rFonts w:ascii="Calibri" w:hAnsi="Calibri"/>
                <w:b w:val="0"/>
                <w:i w:val="0"/>
                <w:color w:val="1B2A32"/>
                <w:sz w:val="18"/>
              </w:rPr>
              <w:t>Hash-chained audit log with verification; append-only sensitive logs</w:t>
            </w:r>
          </w:p>
        </w:tc>
      </w:tr>
      <w:tr>
        <w:tc>
          <w:tcPr>
            <w:tcW w:type="dxa" w:w="25920"/>
          </w:tcPr>
          <w:p>
            <w:r/>
            <w:r>
              <w:rPr>
                <w:rFonts w:ascii="Calibri" w:hAnsi="Calibri"/>
                <w:b w:val="0"/>
                <w:i w:val="0"/>
                <w:color w:val="1B2A32"/>
                <w:sz w:val="18"/>
              </w:rPr>
              <w:t>Repudiation</w:t>
            </w:r>
          </w:p>
        </w:tc>
        <w:tc>
          <w:tcPr>
            <w:tcW w:type="dxa" w:w="48960"/>
          </w:tcPr>
          <w:p>
            <w:r/>
            <w:r>
              <w:rPr>
                <w:rFonts w:ascii="Calibri" w:hAnsi="Calibri"/>
                <w:b w:val="0"/>
                <w:i w:val="0"/>
                <w:color w:val="1B2A32"/>
                <w:sz w:val="18"/>
              </w:rPr>
              <w:t>A party denies signing</w:t>
            </w:r>
          </w:p>
        </w:tc>
        <w:tc>
          <w:tcPr>
            <w:tcW w:type="dxa" w:w="69120"/>
          </w:tcPr>
          <w:p>
            <w:r/>
            <w:r>
              <w:rPr>
                <w:rFonts w:ascii="Calibri" w:hAnsi="Calibri"/>
                <w:b w:val="0"/>
                <w:i w:val="0"/>
                <w:color w:val="1B2A32"/>
                <w:sz w:val="18"/>
              </w:rPr>
              <w:t>e-Sign under IT Act s.3A; timestamped audit</w:t>
            </w:r>
          </w:p>
        </w:tc>
      </w:tr>
      <w:tr>
        <w:tc>
          <w:tcPr>
            <w:tcW w:type="dxa" w:w="25920"/>
            <w:shd w:val="clear" w:fill="F3F7F9"/>
          </w:tcPr>
          <w:p>
            <w:r/>
            <w:r>
              <w:rPr>
                <w:rFonts w:ascii="Calibri" w:hAnsi="Calibri"/>
                <w:b w:val="0"/>
                <w:i w:val="0"/>
                <w:color w:val="1B2A32"/>
                <w:sz w:val="18"/>
              </w:rPr>
              <w:t>Information disclosure</w:t>
            </w:r>
          </w:p>
        </w:tc>
        <w:tc>
          <w:tcPr>
            <w:tcW w:type="dxa" w:w="48960"/>
            <w:shd w:val="clear" w:fill="F3F7F9"/>
          </w:tcPr>
          <w:p>
            <w:r/>
            <w:r>
              <w:rPr>
                <w:rFonts w:ascii="Calibri" w:hAnsi="Calibri"/>
                <w:b w:val="0"/>
                <w:i w:val="0"/>
                <w:color w:val="1B2A32"/>
                <w:sz w:val="18"/>
              </w:rPr>
              <w:t>Health/POSH data leaking cross-vertical</w:t>
            </w:r>
          </w:p>
        </w:tc>
        <w:tc>
          <w:tcPr>
            <w:tcW w:type="dxa" w:w="69120"/>
            <w:shd w:val="clear" w:fill="F3F7F9"/>
          </w:tcPr>
          <w:p>
            <w:r/>
            <w:r>
              <w:rPr>
                <w:rFonts w:ascii="Calibri" w:hAnsi="Calibri"/>
                <w:b w:val="0"/>
                <w:i w:val="0"/>
                <w:color w:val="1B2A32"/>
                <w:sz w:val="18"/>
              </w:rPr>
              <w:t>Separate schemas &amp; keys; token-only reference; analytics/AI exclusion</w:t>
            </w:r>
          </w:p>
        </w:tc>
      </w:tr>
      <w:tr>
        <w:tc>
          <w:tcPr>
            <w:tcW w:type="dxa" w:w="25920"/>
          </w:tcPr>
          <w:p>
            <w:r/>
            <w:r>
              <w:rPr>
                <w:rFonts w:ascii="Calibri" w:hAnsi="Calibri"/>
                <w:b w:val="0"/>
                <w:i w:val="0"/>
                <w:color w:val="1B2A32"/>
                <w:sz w:val="18"/>
              </w:rPr>
              <w:t>Denial of service</w:t>
            </w:r>
          </w:p>
        </w:tc>
        <w:tc>
          <w:tcPr>
            <w:tcW w:type="dxa" w:w="48960"/>
          </w:tcPr>
          <w:p>
            <w:r/>
            <w:r>
              <w:rPr>
                <w:rFonts w:ascii="Calibri" w:hAnsi="Calibri"/>
                <w:b w:val="0"/>
                <w:i w:val="0"/>
                <w:color w:val="1B2A32"/>
                <w:sz w:val="18"/>
              </w:rPr>
              <w:t>Clock scheduler overwhelmed at scale</w:t>
            </w:r>
          </w:p>
        </w:tc>
        <w:tc>
          <w:tcPr>
            <w:tcW w:type="dxa" w:w="69120"/>
          </w:tcPr>
          <w:p>
            <w:r/>
            <w:r>
              <w:rPr>
                <w:rFonts w:ascii="Calibri" w:hAnsi="Calibri"/>
                <w:b w:val="0"/>
                <w:i w:val="0"/>
                <w:color w:val="1B2A32"/>
                <w:sz w:val="18"/>
              </w:rPr>
              <w:t>Idempotent scheduler; load-tested to 10x; queue back-pressure</w:t>
            </w:r>
          </w:p>
        </w:tc>
      </w:tr>
      <w:tr>
        <w:tc>
          <w:tcPr>
            <w:tcW w:type="dxa" w:w="25920"/>
            <w:shd w:val="clear" w:fill="F3F7F9"/>
          </w:tcPr>
          <w:p>
            <w:r/>
            <w:r>
              <w:rPr>
                <w:rFonts w:ascii="Calibri" w:hAnsi="Calibri"/>
                <w:b w:val="0"/>
                <w:i w:val="0"/>
                <w:color w:val="1B2A32"/>
                <w:sz w:val="18"/>
              </w:rPr>
              <w:t>Elevation of privilege</w:t>
            </w:r>
          </w:p>
        </w:tc>
        <w:tc>
          <w:tcPr>
            <w:tcW w:type="dxa" w:w="48960"/>
            <w:shd w:val="clear" w:fill="F3F7F9"/>
          </w:tcPr>
          <w:p>
            <w:r/>
            <w:r>
              <w:rPr>
                <w:rFonts w:ascii="Calibri" w:hAnsi="Calibri"/>
                <w:b w:val="0"/>
                <w:i w:val="0"/>
                <w:color w:val="1B2A32"/>
                <w:sz w:val="18"/>
              </w:rPr>
              <w:t>A case manager reading another neutral's caucus notes</w:t>
            </w:r>
          </w:p>
        </w:tc>
        <w:tc>
          <w:tcPr>
            <w:tcW w:type="dxa" w:w="69120"/>
            <w:shd w:val="clear" w:fill="F3F7F9"/>
          </w:tcPr>
          <w:p>
            <w:r/>
            <w:r>
              <w:rPr>
                <w:rFonts w:ascii="Calibri" w:hAnsi="Calibri"/>
                <w:b w:val="0"/>
                <w:i w:val="0"/>
                <w:color w:val="1B2A32"/>
                <w:sz w:val="18"/>
              </w:rPr>
              <w:t>Row-level security; least privilege; access review</w:t>
            </w:r>
          </w:p>
        </w:tc>
      </w:tr>
    </w:tbl>
    <w:p>
      <w:pPr>
        <w:spacing w:after="40"/>
      </w:pPr>
    </w:p>
    <w:p>
      <w:pPr>
        <w:keepNext/>
        <w:spacing w:before="280" w:after="120"/>
        <w:pBdr>
          <w:bottom w:val="single" w:sz="12" w:space="3" w:color="C6A15B"/>
        </w:pBdr>
      </w:pPr>
      <w:r>
        <w:rPr>
          <w:rFonts w:ascii="Calibri" w:hAnsi="Calibri"/>
          <w:b/>
          <w:i w:val="0"/>
          <w:color w:val="123B4F"/>
          <w:sz w:val="32"/>
        </w:rPr>
        <w:t>3.  Part 3 — SOC 2 / ISO 27001 readiness</w:t>
      </w:r>
    </w:p>
    <w:p>
      <w:pPr>
        <w:spacing w:after="120"/>
        <w:jc w:val="both"/>
      </w:pPr>
      <w:r>
        <w:rPr>
          <w:rFonts w:ascii="Calibri" w:hAnsi="Calibri"/>
          <w:b w:val="0"/>
          <w:i w:val="0"/>
          <w:color w:val="1B2A32"/>
          <w:sz w:val="21"/>
        </w:rPr>
        <w:t>Equator targets SOC 2 Type II and ISO/IEC 27001 as the external attestations institutional clients (insurers, employers, lenders) will require. Readiness against the trust-service criteria / Annex A domains:</w:t>
      </w:r>
    </w:p>
    <w:tbl>
      <w:tblPr>
        <w:tblStyle w:val="TableGrid"/>
        <w:tblW w:type="auto" w:w="0"/>
        <w:jc w:val="center"/>
        <w:tblLook w:firstColumn="1" w:firstRow="1" w:lastColumn="0" w:lastRow="0" w:noHBand="0" w:noVBand="1" w:val="04A0"/>
      </w:tblPr>
      <w:tblGrid>
        <w:gridCol w:w="3168"/>
        <w:gridCol w:w="3168"/>
        <w:gridCol w:w="3168"/>
      </w:tblGrid>
      <w:tr>
        <w:tc>
          <w:tcPr>
            <w:tcW w:type="dxa" w:w="37440"/>
            <w:shd w:val="clear" w:fill="123B4F"/>
          </w:tcPr>
          <w:p>
            <w:r/>
            <w:r>
              <w:rPr>
                <w:rFonts w:ascii="Calibri" w:hAnsi="Calibri"/>
                <w:b/>
                <w:i w:val="0"/>
                <w:color w:val="FFFFFF"/>
                <w:sz w:val="18"/>
              </w:rPr>
              <w:t>Domain</w:t>
            </w:r>
          </w:p>
        </w:tc>
        <w:tc>
          <w:tcPr>
            <w:tcW w:type="dxa" w:w="20160"/>
            <w:shd w:val="clear" w:fill="123B4F"/>
          </w:tcPr>
          <w:p>
            <w:r/>
            <w:r>
              <w:rPr>
                <w:rFonts w:ascii="Calibri" w:hAnsi="Calibri"/>
                <w:b/>
                <w:i w:val="0"/>
                <w:color w:val="FFFFFF"/>
                <w:sz w:val="18"/>
              </w:rPr>
              <w:t>Status</w:t>
            </w:r>
          </w:p>
        </w:tc>
        <w:tc>
          <w:tcPr>
            <w:tcW w:type="dxa" w:w="86400"/>
            <w:shd w:val="clear" w:fill="123B4F"/>
          </w:tcPr>
          <w:p>
            <w:r/>
            <w:r>
              <w:rPr>
                <w:rFonts w:ascii="Calibri" w:hAnsi="Calibri"/>
                <w:b/>
                <w:i w:val="0"/>
                <w:color w:val="FFFFFF"/>
                <w:sz w:val="18"/>
              </w:rPr>
              <w:t>Evidence / gap</w:t>
            </w:r>
          </w:p>
        </w:tc>
      </w:tr>
      <w:tr>
        <w:tc>
          <w:tcPr>
            <w:tcW w:type="dxa" w:w="37440"/>
          </w:tcPr>
          <w:p>
            <w:r/>
            <w:r>
              <w:rPr>
                <w:rFonts w:ascii="Calibri" w:hAnsi="Calibri"/>
                <w:b w:val="0"/>
                <w:i w:val="0"/>
                <w:color w:val="1B2A32"/>
                <w:sz w:val="18"/>
              </w:rPr>
              <w:t>Security / access control</w:t>
            </w:r>
          </w:p>
        </w:tc>
        <w:tc>
          <w:tcPr>
            <w:tcW w:type="dxa" w:w="20160"/>
          </w:tcPr>
          <w:p>
            <w:r/>
            <w:r>
              <w:rPr>
                <w:rFonts w:ascii="Calibri" w:hAnsi="Calibri"/>
                <w:b w:val="0"/>
                <w:i w:val="0"/>
                <w:color w:val="1B2A32"/>
                <w:sz w:val="18"/>
              </w:rPr>
              <w:t>In design</w:t>
            </w:r>
          </w:p>
        </w:tc>
        <w:tc>
          <w:tcPr>
            <w:tcW w:type="dxa" w:w="86400"/>
          </w:tcPr>
          <w:p>
            <w:r/>
            <w:r>
              <w:rPr>
                <w:rFonts w:ascii="Calibri" w:hAnsi="Calibri"/>
                <w:b w:val="0"/>
                <w:i w:val="0"/>
                <w:color w:val="1B2A32"/>
                <w:sz w:val="18"/>
              </w:rPr>
              <w:t>RBAC, MFA, least privilege, row-level security specified; implementation to evidence</w:t>
            </w:r>
          </w:p>
        </w:tc>
      </w:tr>
      <w:tr>
        <w:tc>
          <w:tcPr>
            <w:tcW w:type="dxa" w:w="37440"/>
            <w:shd w:val="clear" w:fill="F3F7F9"/>
          </w:tcPr>
          <w:p>
            <w:r/>
            <w:r>
              <w:rPr>
                <w:rFonts w:ascii="Calibri" w:hAnsi="Calibri"/>
                <w:b w:val="0"/>
                <w:i w:val="0"/>
                <w:color w:val="1B2A32"/>
                <w:sz w:val="18"/>
              </w:rPr>
              <w:t>Availability / resilience</w:t>
            </w:r>
          </w:p>
        </w:tc>
        <w:tc>
          <w:tcPr>
            <w:tcW w:type="dxa" w:w="20160"/>
            <w:shd w:val="clear" w:fill="F3F7F9"/>
          </w:tcPr>
          <w:p>
            <w:r/>
            <w:r>
              <w:rPr>
                <w:rFonts w:ascii="Calibri" w:hAnsi="Calibri"/>
                <w:b w:val="0"/>
                <w:i w:val="0"/>
                <w:color w:val="1B2A32"/>
                <w:sz w:val="18"/>
              </w:rPr>
              <w:t>In design</w:t>
            </w:r>
          </w:p>
        </w:tc>
        <w:tc>
          <w:tcPr>
            <w:tcW w:type="dxa" w:w="86400"/>
            <w:shd w:val="clear" w:fill="F3F7F9"/>
          </w:tcPr>
          <w:p>
            <w:r/>
            <w:r>
              <w:rPr>
                <w:rFonts w:ascii="Calibri" w:hAnsi="Calibri"/>
                <w:b w:val="0"/>
                <w:i w:val="0"/>
                <w:color w:val="1B2A32"/>
                <w:sz w:val="18"/>
              </w:rPr>
              <w:t>BCP/DR plan (Part 5); RTO/RPO targets set</w:t>
            </w:r>
          </w:p>
        </w:tc>
      </w:tr>
      <w:tr>
        <w:tc>
          <w:tcPr>
            <w:tcW w:type="dxa" w:w="37440"/>
          </w:tcPr>
          <w:p>
            <w:r/>
            <w:r>
              <w:rPr>
                <w:rFonts w:ascii="Calibri" w:hAnsi="Calibri"/>
                <w:b w:val="0"/>
                <w:i w:val="0"/>
                <w:color w:val="1B2A32"/>
                <w:sz w:val="18"/>
              </w:rPr>
              <w:t>Confidentiality</w:t>
            </w:r>
          </w:p>
        </w:tc>
        <w:tc>
          <w:tcPr>
            <w:tcW w:type="dxa" w:w="20160"/>
          </w:tcPr>
          <w:p>
            <w:r/>
            <w:r>
              <w:rPr>
                <w:rFonts w:ascii="Calibri" w:hAnsi="Calibri"/>
                <w:b w:val="0"/>
                <w:i w:val="0"/>
                <w:color w:val="1B2A32"/>
                <w:sz w:val="18"/>
              </w:rPr>
              <w:t>Strong</w:t>
            </w:r>
          </w:p>
        </w:tc>
        <w:tc>
          <w:tcPr>
            <w:tcW w:type="dxa" w:w="86400"/>
          </w:tcPr>
          <w:p>
            <w:r/>
            <w:r>
              <w:rPr>
                <w:rFonts w:ascii="Calibri" w:hAnsi="Calibri"/>
                <w:b w:val="0"/>
                <w:i w:val="0"/>
                <w:color w:val="1B2A32"/>
                <w:sz w:val="18"/>
              </w:rPr>
              <w:t>Sub-store segregation; encryption at rest and in transit; caucus sealing</w:t>
            </w:r>
          </w:p>
        </w:tc>
      </w:tr>
      <w:tr>
        <w:tc>
          <w:tcPr>
            <w:tcW w:type="dxa" w:w="37440"/>
            <w:shd w:val="clear" w:fill="F3F7F9"/>
          </w:tcPr>
          <w:p>
            <w:r/>
            <w:r>
              <w:rPr>
                <w:rFonts w:ascii="Calibri" w:hAnsi="Calibri"/>
                <w:b w:val="0"/>
                <w:i w:val="0"/>
                <w:color w:val="1B2A32"/>
                <w:sz w:val="18"/>
              </w:rPr>
              <w:t>Processing integrity</w:t>
            </w:r>
          </w:p>
        </w:tc>
        <w:tc>
          <w:tcPr>
            <w:tcW w:type="dxa" w:w="20160"/>
            <w:shd w:val="clear" w:fill="F3F7F9"/>
          </w:tcPr>
          <w:p>
            <w:r/>
            <w:r>
              <w:rPr>
                <w:rFonts w:ascii="Calibri" w:hAnsi="Calibri"/>
                <w:b w:val="0"/>
                <w:i w:val="0"/>
                <w:color w:val="1B2A32"/>
                <w:sz w:val="18"/>
              </w:rPr>
              <w:t>Strong</w:t>
            </w:r>
          </w:p>
        </w:tc>
        <w:tc>
          <w:tcPr>
            <w:tcW w:type="dxa" w:w="86400"/>
            <w:shd w:val="clear" w:fill="F3F7F9"/>
          </w:tcPr>
          <w:p>
            <w:r/>
            <w:r>
              <w:rPr>
                <w:rFonts w:ascii="Calibri" w:hAnsi="Calibri"/>
                <w:b w:val="0"/>
                <w:i w:val="0"/>
                <w:color w:val="1B2A32"/>
                <w:sz w:val="18"/>
              </w:rPr>
              <w:t>Hash-chained audit; database CHECK constraints proven by the Reference Implementations</w:t>
            </w:r>
          </w:p>
        </w:tc>
      </w:tr>
      <w:tr>
        <w:tc>
          <w:tcPr>
            <w:tcW w:type="dxa" w:w="37440"/>
          </w:tcPr>
          <w:p>
            <w:r/>
            <w:r>
              <w:rPr>
                <w:rFonts w:ascii="Calibri" w:hAnsi="Calibri"/>
                <w:b w:val="0"/>
                <w:i w:val="0"/>
                <w:color w:val="1B2A32"/>
                <w:sz w:val="18"/>
              </w:rPr>
              <w:t>Privacy</w:t>
            </w:r>
          </w:p>
        </w:tc>
        <w:tc>
          <w:tcPr>
            <w:tcW w:type="dxa" w:w="20160"/>
          </w:tcPr>
          <w:p>
            <w:r/>
            <w:r>
              <w:rPr>
                <w:rFonts w:ascii="Calibri" w:hAnsi="Calibri"/>
                <w:b w:val="0"/>
                <w:i w:val="0"/>
                <w:color w:val="1B2A32"/>
                <w:sz w:val="18"/>
              </w:rPr>
              <w:t>In progress</w:t>
            </w:r>
          </w:p>
        </w:tc>
        <w:tc>
          <w:tcPr>
            <w:tcW w:type="dxa" w:w="86400"/>
          </w:tcPr>
          <w:p>
            <w:r/>
            <w:r>
              <w:rPr>
                <w:rFonts w:ascii="Calibri" w:hAnsi="Calibri"/>
                <w:b w:val="0"/>
                <w:i w:val="0"/>
                <w:color w:val="1B2A32"/>
                <w:sz w:val="18"/>
              </w:rPr>
              <w:t>This DPIA; retention schedule; consent management</w:t>
            </w:r>
          </w:p>
        </w:tc>
      </w:tr>
      <w:tr>
        <w:tc>
          <w:tcPr>
            <w:tcW w:type="dxa" w:w="37440"/>
            <w:shd w:val="clear" w:fill="F3F7F9"/>
          </w:tcPr>
          <w:p>
            <w:r/>
            <w:r>
              <w:rPr>
                <w:rFonts w:ascii="Calibri" w:hAnsi="Calibri"/>
                <w:b w:val="0"/>
                <w:i w:val="0"/>
                <w:color w:val="1B2A32"/>
                <w:sz w:val="18"/>
              </w:rPr>
              <w:t>A.5 Policies</w:t>
            </w:r>
          </w:p>
        </w:tc>
        <w:tc>
          <w:tcPr>
            <w:tcW w:type="dxa" w:w="20160"/>
            <w:shd w:val="clear" w:fill="F3F7F9"/>
          </w:tcPr>
          <w:p>
            <w:r/>
            <w:r>
              <w:rPr>
                <w:rFonts w:ascii="Calibri" w:hAnsi="Calibri"/>
                <w:b w:val="0"/>
                <w:i w:val="0"/>
                <w:color w:val="1B2A32"/>
                <w:sz w:val="18"/>
              </w:rPr>
              <w:t>In progress</w:t>
            </w:r>
          </w:p>
        </w:tc>
        <w:tc>
          <w:tcPr>
            <w:tcW w:type="dxa" w:w="86400"/>
            <w:shd w:val="clear" w:fill="F3F7F9"/>
          </w:tcPr>
          <w:p>
            <w:r/>
            <w:r>
              <w:rPr>
                <w:rFonts w:ascii="Calibri" w:hAnsi="Calibri"/>
                <w:b w:val="0"/>
                <w:i w:val="0"/>
                <w:color w:val="1B2A32"/>
                <w:sz w:val="18"/>
              </w:rPr>
              <w:t>Information-security policy set to be ratified</w:t>
            </w:r>
          </w:p>
        </w:tc>
      </w:tr>
      <w:tr>
        <w:tc>
          <w:tcPr>
            <w:tcW w:type="dxa" w:w="37440"/>
          </w:tcPr>
          <w:p>
            <w:r/>
            <w:r>
              <w:rPr>
                <w:rFonts w:ascii="Calibri" w:hAnsi="Calibri"/>
                <w:b w:val="0"/>
                <w:i w:val="0"/>
                <w:color w:val="1B2A32"/>
                <w:sz w:val="18"/>
              </w:rPr>
              <w:t>A.8 Asset management</w:t>
            </w:r>
          </w:p>
        </w:tc>
        <w:tc>
          <w:tcPr>
            <w:tcW w:type="dxa" w:w="20160"/>
          </w:tcPr>
          <w:p>
            <w:r/>
            <w:r>
              <w:rPr>
                <w:rFonts w:ascii="Calibri" w:hAnsi="Calibri"/>
                <w:b w:val="0"/>
                <w:i w:val="0"/>
                <w:color w:val="1B2A32"/>
                <w:sz w:val="18"/>
              </w:rPr>
              <w:t>In design</w:t>
            </w:r>
          </w:p>
        </w:tc>
        <w:tc>
          <w:tcPr>
            <w:tcW w:type="dxa" w:w="86400"/>
          </w:tcPr>
          <w:p>
            <w:r/>
            <w:r>
              <w:rPr>
                <w:rFonts w:ascii="Calibri" w:hAnsi="Calibri"/>
                <w:b w:val="0"/>
                <w:i w:val="0"/>
                <w:color w:val="1B2A32"/>
                <w:sz w:val="18"/>
              </w:rPr>
              <w:t>Data classification (public/PII/sensitive) implemented at column level</w:t>
            </w:r>
          </w:p>
        </w:tc>
      </w:tr>
      <w:tr>
        <w:tc>
          <w:tcPr>
            <w:tcW w:type="dxa" w:w="37440"/>
            <w:shd w:val="clear" w:fill="F3F7F9"/>
          </w:tcPr>
          <w:p>
            <w:r/>
            <w:r>
              <w:rPr>
                <w:rFonts w:ascii="Calibri" w:hAnsi="Calibri"/>
                <w:b w:val="0"/>
                <w:i w:val="0"/>
                <w:color w:val="1B2A32"/>
                <w:sz w:val="18"/>
              </w:rPr>
              <w:t>A.12 Operations security</w:t>
            </w:r>
          </w:p>
        </w:tc>
        <w:tc>
          <w:tcPr>
            <w:tcW w:type="dxa" w:w="20160"/>
            <w:shd w:val="clear" w:fill="F3F7F9"/>
          </w:tcPr>
          <w:p>
            <w:r/>
            <w:r>
              <w:rPr>
                <w:rFonts w:ascii="Calibri" w:hAnsi="Calibri"/>
                <w:b w:val="0"/>
                <w:i w:val="0"/>
                <w:color w:val="1B2A32"/>
                <w:sz w:val="18"/>
              </w:rPr>
              <w:t>In design</w:t>
            </w:r>
          </w:p>
        </w:tc>
        <w:tc>
          <w:tcPr>
            <w:tcW w:type="dxa" w:w="86400"/>
            <w:shd w:val="clear" w:fill="F3F7F9"/>
          </w:tcPr>
          <w:p>
            <w:r/>
            <w:r>
              <w:rPr>
                <w:rFonts w:ascii="Calibri" w:hAnsi="Calibri"/>
                <w:b w:val="0"/>
                <w:i w:val="0"/>
                <w:color w:val="1B2A32"/>
                <w:sz w:val="18"/>
              </w:rPr>
              <w:t>Change management; logging; malware; backup</w:t>
            </w:r>
          </w:p>
        </w:tc>
      </w:tr>
      <w:tr>
        <w:tc>
          <w:tcPr>
            <w:tcW w:type="dxa" w:w="37440"/>
          </w:tcPr>
          <w:p>
            <w:r/>
            <w:r>
              <w:rPr>
                <w:rFonts w:ascii="Calibri" w:hAnsi="Calibri"/>
                <w:b w:val="0"/>
                <w:i w:val="0"/>
                <w:color w:val="1B2A32"/>
                <w:sz w:val="18"/>
              </w:rPr>
              <w:t>A.16 Incident management</w:t>
            </w:r>
          </w:p>
        </w:tc>
        <w:tc>
          <w:tcPr>
            <w:tcW w:type="dxa" w:w="20160"/>
          </w:tcPr>
          <w:p>
            <w:r/>
            <w:r>
              <w:rPr>
                <w:rFonts w:ascii="Calibri" w:hAnsi="Calibri"/>
                <w:b w:val="0"/>
                <w:i w:val="0"/>
                <w:color w:val="1B2A32"/>
                <w:sz w:val="18"/>
              </w:rPr>
              <w:t>Ready</w:t>
            </w:r>
          </w:p>
        </w:tc>
        <w:tc>
          <w:tcPr>
            <w:tcW w:type="dxa" w:w="86400"/>
          </w:tcPr>
          <w:p>
            <w:r/>
            <w:r>
              <w:rPr>
                <w:rFonts w:ascii="Calibri" w:hAnsi="Calibri"/>
                <w:b w:val="0"/>
                <w:i w:val="0"/>
                <w:color w:val="1B2A32"/>
                <w:sz w:val="18"/>
              </w:rPr>
              <w:t>Incident-response runbook (Part 4)</w:t>
            </w:r>
          </w:p>
        </w:tc>
      </w:tr>
      <w:tr>
        <w:tc>
          <w:tcPr>
            <w:tcW w:type="dxa" w:w="37440"/>
            <w:shd w:val="clear" w:fill="F3F7F9"/>
          </w:tcPr>
          <w:p>
            <w:r/>
            <w:r>
              <w:rPr>
                <w:rFonts w:ascii="Calibri" w:hAnsi="Calibri"/>
                <w:b w:val="0"/>
                <w:i w:val="0"/>
                <w:color w:val="1B2A32"/>
                <w:sz w:val="18"/>
              </w:rPr>
              <w:t>A.18 Compliance</w:t>
            </w:r>
          </w:p>
        </w:tc>
        <w:tc>
          <w:tcPr>
            <w:tcW w:type="dxa" w:w="20160"/>
            <w:shd w:val="clear" w:fill="F3F7F9"/>
          </w:tcPr>
          <w:p>
            <w:r/>
            <w:r>
              <w:rPr>
                <w:rFonts w:ascii="Calibri" w:hAnsi="Calibri"/>
                <w:b w:val="0"/>
                <w:i w:val="0"/>
                <w:color w:val="1B2A32"/>
                <w:sz w:val="18"/>
              </w:rPr>
              <w:t>In progress</w:t>
            </w:r>
          </w:p>
        </w:tc>
        <w:tc>
          <w:tcPr>
            <w:tcW w:type="dxa" w:w="86400"/>
            <w:shd w:val="clear" w:fill="F3F7F9"/>
          </w:tcPr>
          <w:p>
            <w:r/>
            <w:r>
              <w:rPr>
                <w:rFonts w:ascii="Calibri" w:hAnsi="Calibri"/>
                <w:b w:val="0"/>
                <w:i w:val="0"/>
                <w:color w:val="1B2A32"/>
                <w:sz w:val="18"/>
              </w:rPr>
              <w:t>The consolidated [verify] &amp; sign-off register</w:t>
            </w:r>
          </w:p>
        </w:tc>
      </w:tr>
    </w:tbl>
    <w:p>
      <w:pPr>
        <w:spacing w:after="40"/>
      </w:pPr>
    </w:p>
    <w:tbl>
      <w:tblPr>
        <w:tblW w:type="auto" w:w="0"/>
        <w:jc w:val="center"/>
        <w:tblLook w:firstColumn="1" w:firstRow="1" w:lastColumn="0" w:lastRow="0" w:noHBand="0" w:noVBand="1" w:val="04A0"/>
      </w:tblPr>
      <w:tblGrid>
        <w:gridCol w:w="9504"/>
      </w:tblGrid>
      <w:tr>
        <w:tc>
          <w:tcPr>
            <w:tcW w:type="dxa" w:w="9360"/>
            <w:shd w:val="clear" w:fill="F5ECD6"/>
            <w:tcBorders>
              <w:start w:val="single" w:sz="22" w:space="0" w:color="C6A15B"/>
            </w:tcBorders>
          </w:tcPr>
          <w:p>
            <w:r>
              <w:rPr>
                <w:rFonts w:ascii="Calibri" w:hAnsi="Calibri"/>
                <w:b/>
                <w:i w:val="0"/>
                <w:color w:val="123B4F"/>
                <w:sz w:val="18"/>
              </w:rPr>
              <w:t>THE READINESS SEQUENCE</w:t>
            </w:r>
          </w:p>
          <w:p>
            <w:r>
              <w:rPr>
                <w:rFonts w:ascii="Calibri" w:hAnsi="Calibri"/>
                <w:b w:val="0"/>
                <w:i w:val="0"/>
                <w:color w:val="1B2A32"/>
                <w:sz w:val="19"/>
              </w:rPr>
              <w:t>(1) Ratify the policy set and data classification. (2) Implement and evidence access, logging and backup controls. (3) Run an independent penetration test (Part 4). (4) Operate for the observation window. (5) Engage the auditor for SOC 2 Type II; pursue ISO 27001 certification in parallel. Target: attestation before the first institutional (insurer/employer/lender) go-live. [verify — timeline with the auditor.]</w:t>
            </w:r>
          </w:p>
        </w:tc>
      </w:tr>
    </w:tbl>
    <w:p>
      <w:pPr>
        <w:spacing w:after="40"/>
      </w:pPr>
    </w:p>
    <w:p>
      <w:pPr>
        <w:keepNext/>
        <w:spacing w:before="280" w:after="120"/>
        <w:pBdr>
          <w:bottom w:val="single" w:sz="12" w:space="3" w:color="C6A15B"/>
        </w:pBdr>
      </w:pPr>
      <w:r>
        <w:rPr>
          <w:rFonts w:ascii="Calibri" w:hAnsi="Calibri"/>
          <w:b/>
          <w:i w:val="0"/>
          <w:color w:val="123B4F"/>
          <w:sz w:val="32"/>
        </w:rPr>
        <w:t>4.  Part 4 — Penetration test &amp; incident response</w:t>
      </w:r>
    </w:p>
    <w:p>
      <w:pPr>
        <w:keepNext/>
        <w:spacing w:before="200" w:after="60"/>
      </w:pPr>
      <w:r>
        <w:rPr>
          <w:rFonts w:ascii="Calibri" w:hAnsi="Calibri"/>
          <w:b/>
          <w:i w:val="0"/>
          <w:color w:val="1E7A8C"/>
          <w:sz w:val="25"/>
        </w:rPr>
        <w:t>4.1  4.1  Penetration-test plan</w:t>
      </w:r>
    </w:p>
    <w:p>
      <w:pPr>
        <w:pStyle w:val="ListBullet"/>
        <w:spacing w:after="60"/>
        <w:jc w:val="both"/>
      </w:pPr>
      <w:r>
        <w:rPr>
          <w:rFonts w:ascii="Calibri" w:hAnsi="Calibri"/>
          <w:b/>
          <w:i w:val="0"/>
          <w:color w:val="1B2A32"/>
          <w:sz w:val="21"/>
        </w:rPr>
        <w:t>Scope</w:t>
      </w:r>
      <w:r>
        <w:rPr>
          <w:rFonts w:ascii="Calibri" w:hAnsi="Calibri"/>
          <w:b w:val="0"/>
          <w:i w:val="0"/>
          <w:color w:val="1B2A32"/>
          <w:sz w:val="21"/>
        </w:rPr>
        <w:t>: the party portal, the case-manager console, the neutral workspace, the insurer/employer portals, the API surface, and — with extra care and scoped data — the two sub-stores.</w:t>
      </w:r>
    </w:p>
    <w:p>
      <w:pPr>
        <w:pStyle w:val="ListBullet"/>
        <w:spacing w:after="60"/>
        <w:jc w:val="both"/>
      </w:pPr>
      <w:r>
        <w:rPr>
          <w:rFonts w:ascii="Calibri" w:hAnsi="Calibri"/>
          <w:b/>
          <w:i w:val="0"/>
          <w:color w:val="1B2A32"/>
          <w:sz w:val="21"/>
        </w:rPr>
        <w:t>Type</w:t>
      </w:r>
      <w:r>
        <w:rPr>
          <w:rFonts w:ascii="Calibri" w:hAnsi="Calibri"/>
          <w:b w:val="0"/>
          <w:i w:val="0"/>
          <w:color w:val="1B2A32"/>
          <w:sz w:val="21"/>
        </w:rPr>
        <w:t>: grey-box, annually and before any major release; plus continuous dependency and secret scanning.</w:t>
      </w:r>
    </w:p>
    <w:p>
      <w:pPr>
        <w:pStyle w:val="ListBullet"/>
        <w:spacing w:after="60"/>
        <w:jc w:val="both"/>
      </w:pPr>
      <w:r>
        <w:rPr>
          <w:rFonts w:ascii="Calibri" w:hAnsi="Calibri"/>
          <w:b/>
          <w:i w:val="0"/>
          <w:color w:val="1B2A32"/>
          <w:sz w:val="21"/>
        </w:rPr>
        <w:t>Priorities</w:t>
      </w:r>
      <w:r>
        <w:rPr>
          <w:rFonts w:ascii="Calibri" w:hAnsi="Calibri"/>
          <w:b w:val="0"/>
          <w:i w:val="0"/>
          <w:color w:val="1B2A32"/>
          <w:sz w:val="21"/>
        </w:rPr>
        <w:t>: authorization boundaries (can a case manager reach another matter's health data?), the sub-store segregation, the caucus RLS, and the AI egress path.</w:t>
      </w:r>
    </w:p>
    <w:p>
      <w:pPr>
        <w:pStyle w:val="ListBullet"/>
        <w:spacing w:after="60"/>
        <w:jc w:val="both"/>
      </w:pPr>
      <w:r>
        <w:rPr>
          <w:rFonts w:ascii="Calibri" w:hAnsi="Calibri"/>
          <w:b/>
          <w:i w:val="0"/>
          <w:color w:val="1B2A32"/>
          <w:sz w:val="21"/>
        </w:rPr>
        <w:t>Reporting</w:t>
      </w:r>
      <w:r>
        <w:rPr>
          <w:rFonts w:ascii="Calibri" w:hAnsi="Calibri"/>
          <w:b w:val="0"/>
          <w:i w:val="0"/>
          <w:color w:val="1B2A32"/>
          <w:sz w:val="21"/>
        </w:rPr>
        <w:t>: findings triaged by severity; criticals block release; retest to close.</w:t>
      </w:r>
    </w:p>
    <w:p>
      <w:pPr>
        <w:keepNext/>
        <w:spacing w:before="200" w:after="60"/>
      </w:pPr>
      <w:r>
        <w:rPr>
          <w:rFonts w:ascii="Calibri" w:hAnsi="Calibri"/>
          <w:b/>
          <w:i w:val="0"/>
          <w:color w:val="1E7A8C"/>
          <w:sz w:val="25"/>
        </w:rPr>
        <w:t>4.2  4.2  Incident-response runbook (platform)</w:t>
      </w:r>
    </w:p>
    <w:tbl>
      <w:tblPr>
        <w:tblStyle w:val="TableGrid"/>
        <w:tblW w:type="auto" w:w="0"/>
        <w:jc w:val="center"/>
        <w:tblLook w:firstColumn="1" w:firstRow="1" w:lastColumn="0" w:lastRow="0" w:noHBand="0" w:noVBand="1" w:val="04A0"/>
      </w:tblPr>
      <w:tblGrid>
        <w:gridCol w:w="2376"/>
        <w:gridCol w:w="2376"/>
        <w:gridCol w:w="2376"/>
        <w:gridCol w:w="2376"/>
      </w:tblGrid>
      <w:tr>
        <w:tc>
          <w:tcPr>
            <w:tcW w:type="dxa" w:w="43200"/>
            <w:shd w:val="clear" w:fill="123B4F"/>
          </w:tcPr>
          <w:p>
            <w:r/>
            <w:r>
              <w:rPr>
                <w:rFonts w:ascii="Calibri" w:hAnsi="Calibri"/>
                <w:b/>
                <w:i w:val="0"/>
                <w:color w:val="FFFFFF"/>
                <w:sz w:val="18"/>
              </w:rPr>
              <w:t>Scenario</w:t>
            </w:r>
          </w:p>
        </w:tc>
        <w:tc>
          <w:tcPr>
            <w:tcW w:type="dxa" w:w="17280"/>
            <w:shd w:val="clear" w:fill="123B4F"/>
          </w:tcPr>
          <w:p>
            <w:r/>
            <w:r>
              <w:rPr>
                <w:rFonts w:ascii="Calibri" w:hAnsi="Calibri"/>
                <w:b/>
                <w:i w:val="0"/>
                <w:color w:val="FFFFFF"/>
                <w:sz w:val="18"/>
              </w:rPr>
              <w:t>Severity</w:t>
            </w:r>
          </w:p>
        </w:tc>
        <w:tc>
          <w:tcPr>
            <w:tcW w:type="dxa" w:w="48960"/>
            <w:shd w:val="clear" w:fill="123B4F"/>
          </w:tcPr>
          <w:p>
            <w:r/>
            <w:r>
              <w:rPr>
                <w:rFonts w:ascii="Calibri" w:hAnsi="Calibri"/>
                <w:b/>
                <w:i w:val="0"/>
                <w:color w:val="FFFFFF"/>
                <w:sz w:val="18"/>
              </w:rPr>
              <w:t>First 60 minutes</w:t>
            </w:r>
          </w:p>
        </w:tc>
        <w:tc>
          <w:tcPr>
            <w:tcW w:type="dxa" w:w="34560"/>
            <w:shd w:val="clear" w:fill="123B4F"/>
          </w:tcPr>
          <w:p>
            <w:r/>
            <w:r>
              <w:rPr>
                <w:rFonts w:ascii="Calibri" w:hAnsi="Calibri"/>
                <w:b/>
                <w:i w:val="0"/>
                <w:color w:val="FFFFFF"/>
                <w:sz w:val="18"/>
              </w:rPr>
              <w:t>Notify</w:t>
            </w:r>
          </w:p>
        </w:tc>
      </w:tr>
      <w:tr>
        <w:tc>
          <w:tcPr>
            <w:tcW w:type="dxa" w:w="43200"/>
          </w:tcPr>
          <w:p>
            <w:r/>
            <w:r>
              <w:rPr>
                <w:rFonts w:ascii="Calibri" w:hAnsi="Calibri"/>
                <w:b w:val="0"/>
                <w:i w:val="0"/>
                <w:color w:val="1B2A32"/>
                <w:sz w:val="18"/>
              </w:rPr>
              <w:t>Sensitive-data exposure (health / POSH / children)</w:t>
            </w:r>
          </w:p>
        </w:tc>
        <w:tc>
          <w:tcPr>
            <w:tcW w:type="dxa" w:w="17280"/>
          </w:tcPr>
          <w:p>
            <w:r/>
            <w:r>
              <w:rPr>
                <w:rFonts w:ascii="Calibri" w:hAnsi="Calibri"/>
                <w:b w:val="0"/>
                <w:i w:val="0"/>
                <w:color w:val="1B2A32"/>
                <w:sz w:val="18"/>
              </w:rPr>
              <w:t>Critical</w:t>
            </w:r>
          </w:p>
        </w:tc>
        <w:tc>
          <w:tcPr>
            <w:tcW w:type="dxa" w:w="48960"/>
          </w:tcPr>
          <w:p>
            <w:r/>
            <w:r>
              <w:rPr>
                <w:rFonts w:ascii="Calibri" w:hAnsi="Calibri"/>
                <w:b w:val="0"/>
                <w:i w:val="0"/>
                <w:color w:val="1B2A32"/>
                <w:sz w:val="18"/>
              </w:rPr>
              <w:t>Revoke access; freeze the store; preserve logs; scope the exposure</w:t>
            </w:r>
          </w:p>
        </w:tc>
        <w:tc>
          <w:tcPr>
            <w:tcW w:type="dxa" w:w="34560"/>
          </w:tcPr>
          <w:p>
            <w:r/>
            <w:r>
              <w:rPr>
                <w:rFonts w:ascii="Calibri" w:hAnsi="Calibri"/>
                <w:b w:val="0"/>
                <w:i w:val="0"/>
                <w:color w:val="1B2A32"/>
                <w:sz w:val="18"/>
              </w:rPr>
              <w:t>DPO immediately; affected persons &amp; Data Protection Board as required; Board</w:t>
            </w:r>
          </w:p>
        </w:tc>
      </w:tr>
      <w:tr>
        <w:tc>
          <w:tcPr>
            <w:tcW w:type="dxa" w:w="43200"/>
            <w:shd w:val="clear" w:fill="F3F7F9"/>
          </w:tcPr>
          <w:p>
            <w:r/>
            <w:r>
              <w:rPr>
                <w:rFonts w:ascii="Calibri" w:hAnsi="Calibri"/>
                <w:b w:val="0"/>
                <w:i w:val="0"/>
                <w:color w:val="1B2A32"/>
                <w:sz w:val="18"/>
              </w:rPr>
              <w:t>Institutional rule bypassed (e.g. retail arbitration, safety flag)</w:t>
            </w:r>
          </w:p>
        </w:tc>
        <w:tc>
          <w:tcPr>
            <w:tcW w:type="dxa" w:w="17280"/>
            <w:shd w:val="clear" w:fill="F3F7F9"/>
          </w:tcPr>
          <w:p>
            <w:r/>
            <w:r>
              <w:rPr>
                <w:rFonts w:ascii="Calibri" w:hAnsi="Calibri"/>
                <w:b w:val="0"/>
                <w:i w:val="0"/>
                <w:color w:val="1B2A32"/>
                <w:sz w:val="18"/>
              </w:rPr>
              <w:t>Critical</w:t>
            </w:r>
          </w:p>
        </w:tc>
        <w:tc>
          <w:tcPr>
            <w:tcW w:type="dxa" w:w="48960"/>
            <w:shd w:val="clear" w:fill="F3F7F9"/>
          </w:tcPr>
          <w:p>
            <w:r/>
            <w:r>
              <w:rPr>
                <w:rFonts w:ascii="Calibri" w:hAnsi="Calibri"/>
                <w:b w:val="0"/>
                <w:i w:val="0"/>
                <w:color w:val="1B2A32"/>
                <w:sz w:val="18"/>
              </w:rPr>
              <w:t>Halt; notify parties in writing; restore the correct state</w:t>
            </w:r>
          </w:p>
        </w:tc>
        <w:tc>
          <w:tcPr>
            <w:tcW w:type="dxa" w:w="34560"/>
            <w:shd w:val="clear" w:fill="F3F7F9"/>
          </w:tcPr>
          <w:p>
            <w:r/>
            <w:r>
              <w:rPr>
                <w:rFonts w:ascii="Calibri" w:hAnsi="Calibri"/>
                <w:b w:val="0"/>
                <w:i w:val="0"/>
                <w:color w:val="1B2A32"/>
                <w:sz w:val="18"/>
              </w:rPr>
              <w:t>GC; Board</w:t>
            </w:r>
          </w:p>
        </w:tc>
      </w:tr>
      <w:tr>
        <w:tc>
          <w:tcPr>
            <w:tcW w:type="dxa" w:w="43200"/>
          </w:tcPr>
          <w:p>
            <w:r/>
            <w:r>
              <w:rPr>
                <w:rFonts w:ascii="Calibri" w:hAnsi="Calibri"/>
                <w:b w:val="0"/>
                <w:i w:val="0"/>
                <w:color w:val="1B2A32"/>
                <w:sz w:val="18"/>
              </w:rPr>
              <w:t>Statutory window expired on our watch</w:t>
            </w:r>
          </w:p>
        </w:tc>
        <w:tc>
          <w:tcPr>
            <w:tcW w:type="dxa" w:w="17280"/>
          </w:tcPr>
          <w:p>
            <w:r/>
            <w:r>
              <w:rPr>
                <w:rFonts w:ascii="Calibri" w:hAnsi="Calibri"/>
                <w:b w:val="0"/>
                <w:i w:val="0"/>
                <w:color w:val="1B2A32"/>
                <w:sz w:val="18"/>
              </w:rPr>
              <w:t>Critical</w:t>
            </w:r>
          </w:p>
        </w:tc>
        <w:tc>
          <w:tcPr>
            <w:tcW w:type="dxa" w:w="48960"/>
          </w:tcPr>
          <w:p>
            <w:r/>
            <w:r>
              <w:rPr>
                <w:rFonts w:ascii="Calibri" w:hAnsi="Calibri"/>
                <w:b w:val="0"/>
                <w:i w:val="0"/>
                <w:color w:val="1B2A32"/>
                <w:sz w:val="18"/>
              </w:rPr>
              <w:t>Notify the party the same day with all remaining options &amp; dates</w:t>
            </w:r>
          </w:p>
        </w:tc>
        <w:tc>
          <w:tcPr>
            <w:tcW w:type="dxa" w:w="34560"/>
          </w:tcPr>
          <w:p>
            <w:r/>
            <w:r>
              <w:rPr>
                <w:rFonts w:ascii="Calibri" w:hAnsi="Calibri"/>
                <w:b w:val="0"/>
                <w:i w:val="0"/>
                <w:color w:val="1B2A32"/>
                <w:sz w:val="18"/>
              </w:rPr>
              <w:t>GC; Board; remediation offer</w:t>
            </w:r>
          </w:p>
        </w:tc>
      </w:tr>
      <w:tr>
        <w:tc>
          <w:tcPr>
            <w:tcW w:type="dxa" w:w="43200"/>
            <w:shd w:val="clear" w:fill="F3F7F9"/>
          </w:tcPr>
          <w:p>
            <w:r/>
            <w:r>
              <w:rPr>
                <w:rFonts w:ascii="Calibri" w:hAnsi="Calibri"/>
                <w:b w:val="0"/>
                <w:i w:val="0"/>
                <w:color w:val="1B2A32"/>
                <w:sz w:val="18"/>
              </w:rPr>
              <w:t>Audit-chain integrity failure</w:t>
            </w:r>
          </w:p>
        </w:tc>
        <w:tc>
          <w:tcPr>
            <w:tcW w:type="dxa" w:w="17280"/>
            <w:shd w:val="clear" w:fill="F3F7F9"/>
          </w:tcPr>
          <w:p>
            <w:r/>
            <w:r>
              <w:rPr>
                <w:rFonts w:ascii="Calibri" w:hAnsi="Calibri"/>
                <w:b w:val="0"/>
                <w:i w:val="0"/>
                <w:color w:val="1B2A32"/>
                <w:sz w:val="18"/>
              </w:rPr>
              <w:t>Critical</w:t>
            </w:r>
          </w:p>
        </w:tc>
        <w:tc>
          <w:tcPr>
            <w:tcW w:type="dxa" w:w="48960"/>
            <w:shd w:val="clear" w:fill="F3F7F9"/>
          </w:tcPr>
          <w:p>
            <w:r/>
            <w:r>
              <w:rPr>
                <w:rFonts w:ascii="Calibri" w:hAnsi="Calibri"/>
                <w:b w:val="0"/>
                <w:i w:val="0"/>
                <w:color w:val="1B2A32"/>
                <w:sz w:val="18"/>
              </w:rPr>
              <w:t>Isolate; verify from the last good hash; investigate</w:t>
            </w:r>
          </w:p>
        </w:tc>
        <w:tc>
          <w:tcPr>
            <w:tcW w:type="dxa" w:w="34560"/>
            <w:shd w:val="clear" w:fill="F3F7F9"/>
          </w:tcPr>
          <w:p>
            <w:r/>
            <w:r>
              <w:rPr>
                <w:rFonts w:ascii="Calibri" w:hAnsi="Calibri"/>
                <w:b w:val="0"/>
                <w:i w:val="0"/>
                <w:color w:val="1B2A32"/>
                <w:sz w:val="18"/>
              </w:rPr>
              <w:t>CTO; GC</w:t>
            </w:r>
          </w:p>
        </w:tc>
      </w:tr>
      <w:tr>
        <w:tc>
          <w:tcPr>
            <w:tcW w:type="dxa" w:w="43200"/>
          </w:tcPr>
          <w:p>
            <w:r/>
            <w:r>
              <w:rPr>
                <w:rFonts w:ascii="Calibri" w:hAnsi="Calibri"/>
                <w:b w:val="0"/>
                <w:i w:val="0"/>
                <w:color w:val="1B2A32"/>
                <w:sz w:val="18"/>
              </w:rPr>
              <w:t>AI gave advice / a prediction / a valuation</w:t>
            </w:r>
          </w:p>
        </w:tc>
        <w:tc>
          <w:tcPr>
            <w:tcW w:type="dxa" w:w="17280"/>
          </w:tcPr>
          <w:p>
            <w:r/>
            <w:r>
              <w:rPr>
                <w:rFonts w:ascii="Calibri" w:hAnsi="Calibri"/>
                <w:b w:val="0"/>
                <w:i w:val="0"/>
                <w:color w:val="1B2A32"/>
                <w:sz w:val="18"/>
              </w:rPr>
              <w:t>High</w:t>
            </w:r>
          </w:p>
        </w:tc>
        <w:tc>
          <w:tcPr>
            <w:tcW w:type="dxa" w:w="48960"/>
          </w:tcPr>
          <w:p>
            <w:r/>
            <w:r>
              <w:rPr>
                <w:rFonts w:ascii="Calibri" w:hAnsi="Calibri"/>
                <w:b w:val="0"/>
                <w:i w:val="0"/>
                <w:color w:val="1B2A32"/>
                <w:sz w:val="18"/>
              </w:rPr>
              <w:t>Disable the feature; capture the transcript; notify the party it was not advice</w:t>
            </w:r>
          </w:p>
        </w:tc>
        <w:tc>
          <w:tcPr>
            <w:tcW w:type="dxa" w:w="34560"/>
          </w:tcPr>
          <w:p>
            <w:r/>
            <w:r>
              <w:rPr>
                <w:rFonts w:ascii="Calibri" w:hAnsi="Calibri"/>
                <w:b w:val="0"/>
                <w:i w:val="0"/>
                <w:color w:val="1B2A32"/>
                <w:sz w:val="18"/>
              </w:rPr>
              <w:t>CTO; GC</w:t>
            </w:r>
          </w:p>
        </w:tc>
      </w:tr>
      <w:tr>
        <w:tc>
          <w:tcPr>
            <w:tcW w:type="dxa" w:w="43200"/>
            <w:shd w:val="clear" w:fill="F3F7F9"/>
          </w:tcPr>
          <w:p>
            <w:r/>
            <w:r>
              <w:rPr>
                <w:rFonts w:ascii="Calibri" w:hAnsi="Calibri"/>
                <w:b w:val="0"/>
                <w:i w:val="0"/>
                <w:color w:val="1B2A32"/>
                <w:sz w:val="18"/>
              </w:rPr>
              <w:t>Neutral independence failure</w:t>
            </w:r>
          </w:p>
        </w:tc>
        <w:tc>
          <w:tcPr>
            <w:tcW w:type="dxa" w:w="17280"/>
            <w:shd w:val="clear" w:fill="F3F7F9"/>
          </w:tcPr>
          <w:p>
            <w:r/>
            <w:r>
              <w:rPr>
                <w:rFonts w:ascii="Calibri" w:hAnsi="Calibri"/>
                <w:b w:val="0"/>
                <w:i w:val="0"/>
                <w:color w:val="1B2A32"/>
                <w:sz w:val="18"/>
              </w:rPr>
              <w:t>High</w:t>
            </w:r>
          </w:p>
        </w:tc>
        <w:tc>
          <w:tcPr>
            <w:tcW w:type="dxa" w:w="48960"/>
            <w:shd w:val="clear" w:fill="F3F7F9"/>
          </w:tcPr>
          <w:p>
            <w:r/>
            <w:r>
              <w:rPr>
                <w:rFonts w:ascii="Calibri" w:hAnsi="Calibri"/>
                <w:b w:val="0"/>
                <w:i w:val="0"/>
                <w:color w:val="1B2A32"/>
                <w:sz w:val="18"/>
              </w:rPr>
              <w:t>Suspend; review the neutral's matters; notify affected parties</w:t>
            </w:r>
          </w:p>
        </w:tc>
        <w:tc>
          <w:tcPr>
            <w:tcW w:type="dxa" w:w="34560"/>
            <w:shd w:val="clear" w:fill="F3F7F9"/>
          </w:tcPr>
          <w:p>
            <w:r/>
            <w:r>
              <w:rPr>
                <w:rFonts w:ascii="Calibri" w:hAnsi="Calibri"/>
                <w:b w:val="0"/>
                <w:i w:val="0"/>
                <w:color w:val="1B2A32"/>
                <w:sz w:val="18"/>
              </w:rPr>
              <w:t>Head of Panel; Board</w:t>
            </w:r>
          </w:p>
        </w:tc>
      </w:tr>
    </w:tbl>
    <w:p>
      <w:pPr>
        <w:spacing w:after="40"/>
      </w:pPr>
    </w:p>
    <w:p>
      <w:pPr>
        <w:keepNext/>
        <w:spacing w:before="280" w:after="120"/>
        <w:pBdr>
          <w:bottom w:val="single" w:sz="12" w:space="3" w:color="C6A15B"/>
        </w:pBdr>
      </w:pPr>
      <w:r>
        <w:rPr>
          <w:rFonts w:ascii="Calibri" w:hAnsi="Calibri"/>
          <w:b/>
          <w:i w:val="0"/>
          <w:color w:val="123B4F"/>
          <w:sz w:val="32"/>
        </w:rPr>
        <w:t>5.  Part 5 — Business continuity &amp; disaster recovery</w:t>
      </w:r>
    </w:p>
    <w:tbl>
      <w:tblPr>
        <w:tblStyle w:val="TableGrid"/>
        <w:tblW w:type="auto" w:w="0"/>
        <w:jc w:val="center"/>
        <w:tblLook w:firstColumn="1" w:firstRow="1" w:lastColumn="0" w:lastRow="0" w:noHBand="0" w:noVBand="1" w:val="04A0"/>
      </w:tblPr>
      <w:tblGrid>
        <w:gridCol w:w="4752"/>
        <w:gridCol w:w="4752"/>
      </w:tblGrid>
      <w:tr>
        <w:tc>
          <w:tcPr>
            <w:tcW w:type="dxa" w:w="37440"/>
            <w:shd w:val="clear" w:fill="123B4F"/>
          </w:tcPr>
          <w:p>
            <w:r/>
            <w:r>
              <w:rPr>
                <w:rFonts w:ascii="Calibri" w:hAnsi="Calibri"/>
                <w:b/>
                <w:i w:val="0"/>
                <w:color w:val="FFFFFF"/>
                <w:sz w:val="18"/>
              </w:rPr>
              <w:t>Element</w:t>
            </w:r>
          </w:p>
        </w:tc>
        <w:tc>
          <w:tcPr>
            <w:tcW w:type="dxa" w:w="106560"/>
            <w:shd w:val="clear" w:fill="123B4F"/>
          </w:tcPr>
          <w:p>
            <w:r/>
            <w:r>
              <w:rPr>
                <w:rFonts w:ascii="Calibri" w:hAnsi="Calibri"/>
                <w:b/>
                <w:i w:val="0"/>
                <w:color w:val="FFFFFF"/>
                <w:sz w:val="18"/>
              </w:rPr>
              <w:t>Target / plan</w:t>
            </w:r>
          </w:p>
        </w:tc>
      </w:tr>
      <w:tr>
        <w:tc>
          <w:tcPr>
            <w:tcW w:type="dxa" w:w="37440"/>
          </w:tcPr>
          <w:p>
            <w:r/>
            <w:r>
              <w:rPr>
                <w:rFonts w:ascii="Calibri" w:hAnsi="Calibri"/>
                <w:b w:val="0"/>
                <w:i w:val="0"/>
                <w:color w:val="1B2A32"/>
                <w:sz w:val="18"/>
              </w:rPr>
              <w:t>RTO (recovery time objective)</w:t>
            </w:r>
          </w:p>
        </w:tc>
        <w:tc>
          <w:tcPr>
            <w:tcW w:type="dxa" w:w="106560"/>
          </w:tcPr>
          <w:p>
            <w:r/>
            <w:r>
              <w:rPr>
                <w:rFonts w:ascii="Calibri" w:hAnsi="Calibri"/>
                <w:b w:val="0"/>
                <w:i w:val="0"/>
                <w:color w:val="1B2A32"/>
                <w:sz w:val="18"/>
              </w:rPr>
              <w:t>Core services within 4 hours [verify with hosting]</w:t>
            </w:r>
          </w:p>
        </w:tc>
      </w:tr>
      <w:tr>
        <w:tc>
          <w:tcPr>
            <w:tcW w:type="dxa" w:w="37440"/>
            <w:shd w:val="clear" w:fill="F3F7F9"/>
          </w:tcPr>
          <w:p>
            <w:r/>
            <w:r>
              <w:rPr>
                <w:rFonts w:ascii="Calibri" w:hAnsi="Calibri"/>
                <w:b w:val="0"/>
                <w:i w:val="0"/>
                <w:color w:val="1B2A32"/>
                <w:sz w:val="18"/>
              </w:rPr>
              <w:t>RPO (recovery point objective)</w:t>
            </w:r>
          </w:p>
        </w:tc>
        <w:tc>
          <w:tcPr>
            <w:tcW w:type="dxa" w:w="106560"/>
            <w:shd w:val="clear" w:fill="F3F7F9"/>
          </w:tcPr>
          <w:p>
            <w:r/>
            <w:r>
              <w:rPr>
                <w:rFonts w:ascii="Calibri" w:hAnsi="Calibri"/>
                <w:b w:val="0"/>
                <w:i w:val="0"/>
                <w:color w:val="1B2A32"/>
                <w:sz w:val="18"/>
              </w:rPr>
              <w:t>≤ 15 minutes (continuous replication) for the case store</w:t>
            </w:r>
          </w:p>
        </w:tc>
      </w:tr>
      <w:tr>
        <w:tc>
          <w:tcPr>
            <w:tcW w:type="dxa" w:w="37440"/>
          </w:tcPr>
          <w:p>
            <w:r/>
            <w:r>
              <w:rPr>
                <w:rFonts w:ascii="Calibri" w:hAnsi="Calibri"/>
                <w:b w:val="0"/>
                <w:i w:val="0"/>
                <w:color w:val="1B2A32"/>
                <w:sz w:val="18"/>
              </w:rPr>
              <w:t>Backups</w:t>
            </w:r>
          </w:p>
        </w:tc>
        <w:tc>
          <w:tcPr>
            <w:tcW w:type="dxa" w:w="106560"/>
          </w:tcPr>
          <w:p>
            <w:r/>
            <w:r>
              <w:rPr>
                <w:rFonts w:ascii="Calibri" w:hAnsi="Calibri"/>
                <w:b w:val="0"/>
                <w:i w:val="0"/>
                <w:color w:val="1B2A32"/>
                <w:sz w:val="18"/>
              </w:rPr>
              <w:t>Encrypted, tested restores monthly; sub-stores backed up under their own keys</w:t>
            </w:r>
          </w:p>
        </w:tc>
      </w:tr>
      <w:tr>
        <w:tc>
          <w:tcPr>
            <w:tcW w:type="dxa" w:w="37440"/>
            <w:shd w:val="clear" w:fill="F3F7F9"/>
          </w:tcPr>
          <w:p>
            <w:r/>
            <w:r>
              <w:rPr>
                <w:rFonts w:ascii="Calibri" w:hAnsi="Calibri"/>
                <w:b w:val="0"/>
                <w:i w:val="0"/>
                <w:color w:val="1B2A32"/>
                <w:sz w:val="18"/>
              </w:rPr>
              <w:t>Failover</w:t>
            </w:r>
          </w:p>
        </w:tc>
        <w:tc>
          <w:tcPr>
            <w:tcW w:type="dxa" w:w="106560"/>
            <w:shd w:val="clear" w:fill="F3F7F9"/>
          </w:tcPr>
          <w:p>
            <w:r/>
            <w:r>
              <w:rPr>
                <w:rFonts w:ascii="Calibri" w:hAnsi="Calibri"/>
                <w:b w:val="0"/>
                <w:i w:val="0"/>
                <w:color w:val="1B2A32"/>
                <w:sz w:val="18"/>
              </w:rPr>
              <w:t>Multi-AZ; documented runbook; annual DR drill</w:t>
            </w:r>
          </w:p>
        </w:tc>
      </w:tr>
      <w:tr>
        <w:tc>
          <w:tcPr>
            <w:tcW w:type="dxa" w:w="37440"/>
          </w:tcPr>
          <w:p>
            <w:r/>
            <w:r>
              <w:rPr>
                <w:rFonts w:ascii="Calibri" w:hAnsi="Calibri"/>
                <w:b w:val="0"/>
                <w:i w:val="0"/>
                <w:color w:val="1B2A32"/>
                <w:sz w:val="18"/>
              </w:rPr>
              <w:t>Escrow continuity</w:t>
            </w:r>
          </w:p>
        </w:tc>
        <w:tc>
          <w:tcPr>
            <w:tcW w:type="dxa" w:w="106560"/>
          </w:tcPr>
          <w:p>
            <w:r/>
            <w:r>
              <w:rPr>
                <w:rFonts w:ascii="Calibri" w:hAnsi="Calibri"/>
                <w:b w:val="0"/>
                <w:i w:val="0"/>
                <w:color w:val="1B2A32"/>
                <w:sz w:val="18"/>
              </w:rPr>
              <w:t>Money sits with the regulated escrow bank, not Equator — insulated from an Equator outage</w:t>
            </w:r>
          </w:p>
        </w:tc>
      </w:tr>
      <w:tr>
        <w:tc>
          <w:tcPr>
            <w:tcW w:type="dxa" w:w="37440"/>
            <w:shd w:val="clear" w:fill="F3F7F9"/>
          </w:tcPr>
          <w:p>
            <w:r/>
            <w:r>
              <w:rPr>
                <w:rFonts w:ascii="Calibri" w:hAnsi="Calibri"/>
                <w:b w:val="0"/>
                <w:i w:val="0"/>
                <w:color w:val="1B2A32"/>
                <w:sz w:val="18"/>
              </w:rPr>
              <w:t>Records</w:t>
            </w:r>
          </w:p>
        </w:tc>
        <w:tc>
          <w:tcPr>
            <w:tcW w:type="dxa" w:w="106560"/>
            <w:shd w:val="clear" w:fill="F3F7F9"/>
          </w:tcPr>
          <w:p>
            <w:r/>
            <w:r>
              <w:rPr>
                <w:rFonts w:ascii="Calibri" w:hAnsi="Calibri"/>
                <w:b w:val="0"/>
                <w:i w:val="0"/>
                <w:color w:val="1B2A32"/>
                <w:sz w:val="18"/>
              </w:rPr>
              <w:t>Settlements and audit logs retained per the retention schedule; enforceability preserved</w:t>
            </w:r>
          </w:p>
        </w:tc>
      </w:tr>
      <w:tr>
        <w:tc>
          <w:tcPr>
            <w:tcW w:type="dxa" w:w="37440"/>
          </w:tcPr>
          <w:p>
            <w:r/>
            <w:r>
              <w:rPr>
                <w:rFonts w:ascii="Calibri" w:hAnsi="Calibri"/>
                <w:b w:val="0"/>
                <w:i w:val="0"/>
                <w:color w:val="1B2A32"/>
                <w:sz w:val="18"/>
              </w:rPr>
              <w:t>Communications</w:t>
            </w:r>
          </w:p>
        </w:tc>
        <w:tc>
          <w:tcPr>
            <w:tcW w:type="dxa" w:w="106560"/>
          </w:tcPr>
          <w:p>
            <w:r/>
            <w:r>
              <w:rPr>
                <w:rFonts w:ascii="Calibri" w:hAnsi="Calibri"/>
                <w:b w:val="0"/>
                <w:i w:val="0"/>
                <w:color w:val="1B2A32"/>
                <w:sz w:val="18"/>
              </w:rPr>
              <w:t>Party-facing status page; pre-drafted notices for each incident class</w:t>
            </w:r>
          </w:p>
        </w:tc>
      </w:tr>
    </w:tbl>
    <w:p>
      <w:pPr>
        <w:spacing w:after="40"/>
      </w:pPr>
    </w:p>
    <w:tbl>
      <w:tblPr>
        <w:tblW w:type="auto" w:w="0"/>
        <w:jc w:val="center"/>
        <w:tblLook w:firstColumn="1" w:firstRow="1" w:lastColumn="0" w:lastRow="0" w:noHBand="0" w:noVBand="1" w:val="04A0"/>
      </w:tblPr>
      <w:tblGrid>
        <w:gridCol w:w="9504"/>
      </w:tblGrid>
      <w:tr>
        <w:tc>
          <w:tcPr>
            <w:tcW w:type="dxa" w:w="9360"/>
            <w:shd w:val="clear" w:fill="DCEAEF"/>
            <w:tcBorders>
              <w:start w:val="single" w:sz="22" w:space="0" w:color="1E7A8C"/>
            </w:tcBorders>
          </w:tcPr>
          <w:p>
            <w:r>
              <w:rPr>
                <w:rFonts w:ascii="Calibri" w:hAnsi="Calibri"/>
                <w:b/>
                <w:i w:val="0"/>
                <w:color w:val="123B4F"/>
                <w:sz w:val="18"/>
              </w:rPr>
              <w:t>THE ASSURANCE STORY IN ONE LINE</w:t>
            </w:r>
          </w:p>
          <w:p>
            <w:r>
              <w:rPr>
                <w:rFonts w:ascii="Calibri" w:hAnsi="Calibri"/>
                <w:b w:val="0"/>
                <w:i w:val="0"/>
                <w:color w:val="1B2A32"/>
                <w:sz w:val="19"/>
              </w:rPr>
              <w:t>One DPIA, one threat model, one incident runbook, one attestation programme — because there is one core. An institutional client can be given a single trust pack that covers every vertical it touches.</w:t>
            </w:r>
          </w:p>
        </w:tc>
      </w:tr>
    </w:tbl>
    <w:p>
      <w:pPr>
        <w:spacing w:after="40"/>
      </w:pPr>
    </w:p>
    <w:sectPr w:rsidR="00FC693F" w:rsidRPr="0006063C" w:rsidSect="00034616">
      <w:headerReference w:type="default" r:id="rId9"/>
      <w:footerReference w:type="default" r:id="rId10"/>
      <w:pgSz w:w="12240" w:h="15840"/>
      <w:pgMar w:top="1296" w:right="1368" w:bottom="1224"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b w:val="0"/>
        <w:i w:val="0"/>
        <w:color w:val="556168"/>
        <w:sz w:val="16"/>
      </w:rPr>
      <w:t xml:space="preserve">Equator Resolution · An Infrabyx Group venture · Confidential draft — not legal advice · Page </w:t>
    </w:r>
    <w:r>
      <w:rPr>
        <w:rFonts w:ascii="Calibri" w:hAnsi="Calibri"/>
        <w:color w:val="556168"/>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2" w:color="C6A15B"/>
      </w:pBdr>
    </w:pPr>
    <w:r/>
    <w:r>
      <w:rPr>
        <w:rFonts w:ascii="Calibri" w:hAnsi="Calibri"/>
        <w:b w:val="0"/>
        <w:i w:val="0"/>
        <w:color w:val="556168"/>
        <w:sz w:val="16"/>
      </w:rPr>
      <w:t>Equator Resolution — Platform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Calibri" w:hAnsi="Calibri"/>
      <w:color w:val="1B2A3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3D5D88ED318E546B0BAD9611B3061C9" ma:contentTypeVersion="9" ma:contentTypeDescription="Create a new document." ma:contentTypeScope="" ma:versionID="d50db782a5ec69b02a0131a0f200a05c">
  <xsd:schema xmlns:xsd="http://www.w3.org/2001/XMLSchema" xmlns:xs="http://www.w3.org/2001/XMLSchema" xmlns:p="http://schemas.microsoft.com/office/2006/metadata/properties" xmlns:ns2="30dddea4-ca15-4972-99ca-320a89f10386" targetNamespace="http://schemas.microsoft.com/office/2006/metadata/properties" ma:root="true" ma:fieldsID="2e09d9990d161d2f2733b865e15bb167" ns2:_="">
    <xsd:import namespace="30dddea4-ca15-4972-99ca-320a89f1038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dddea4-ca15-4972-99ca-320a89f103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fieldId="{5cf76f15-5ced-4ddc-b409-7134ff3c332f}" ma:taxonomyMulti="true" ma:sspId="00000000-0000-0000-0000-000000000000" ma:termSetId="00000000-0000-0000-0000-000000000000" ma:anchorId="00000000-0000-0000-0000-000000000000" ma:open="fals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0dddea4-ca15-4972-99ca-320a89f1038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7D0DBBB3-F063-40D0-A171-08A74D9595E2}"/>
</file>

<file path=customXml/itemProps3.xml><?xml version="1.0" encoding="utf-8"?>
<ds:datastoreItem xmlns:ds="http://schemas.openxmlformats.org/officeDocument/2006/customXml" ds:itemID="{848D8887-6B42-4632-BB6D-9043D658AE31}"/>
</file>

<file path=customXml/itemProps4.xml><?xml version="1.0" encoding="utf-8"?>
<ds:datastoreItem xmlns:ds="http://schemas.openxmlformats.org/officeDocument/2006/customXml" ds:itemID="{A18E1FA4-577D-4341-91B4-6A106BE430D4}"/>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0x01010053D5D88ED318E546B0BAD9611B3061C9</vt:lpwstr>
  </property>
</Properties>
</file>