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Arbitration</w:t>
      </w:r>
    </w:p>
    <w:p>
      <w:pPr>
        <w:pBdr>
          <w:top w:val="single" w:sz="14" w:space="6" w:color="C6A15B"/>
          <w:bottom w:val="single" w:sz="14" w:space="6" w:color="C6A15B"/>
        </w:pBdr>
      </w:pPr>
    </w:p>
    <w:p>
      <w:pPr>
        <w:spacing w:before="600"/>
        <w:jc w:val="center"/>
      </w:pPr>
      <w:r>
        <w:rPr>
          <w:rFonts w:ascii="Calibri" w:hAnsi="Calibri"/>
          <w:b/>
          <w:i w:val="0"/>
          <w:color w:val="123B4F"/>
          <w:sz w:val="48"/>
        </w:rPr>
        <w:t>Quality Assurance &amp; Calibration Programme</w:t>
      </w:r>
    </w:p>
    <w:p>
      <w:pPr>
        <w:jc w:val="center"/>
      </w:pPr>
      <w:r>
        <w:rPr>
          <w:rFonts w:ascii="Calibri" w:hAnsi="Calibri"/>
          <w:b w:val="0"/>
          <w:i/>
          <w:color w:val="556168"/>
          <w:sz w:val="25"/>
        </w:rPr>
        <w:t>How Equator proves — not just promises — that its process is fair, across every vertical</w:t>
      </w:r>
    </w:p>
    <w:p/>
    <w:p/>
    <w:p/>
    <w:p/>
    <w:p/>
    <w:p/>
    <w:p/>
    <w:p/>
    <w:p>
      <w:pPr>
        <w:jc w:val="center"/>
      </w:pPr>
      <w:r>
        <w:rPr>
          <w:rFonts w:ascii="Calibri" w:hAnsi="Calibri"/>
          <w:b/>
          <w:i w:val="0"/>
          <w:color w:val="1E7A8C"/>
          <w:sz w:val="22"/>
        </w:rPr>
        <w:t>Platform — institution-wide</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Why this programme exists</w:t>
      </w:r>
    </w:p>
    <w:p>
      <w:pPr>
        <w:spacing w:after="120"/>
        <w:jc w:val="both"/>
      </w:pPr>
      <w:r>
        <w:rPr>
          <w:rFonts w:ascii="Calibri" w:hAnsi="Calibri"/>
          <w:b w:val="0"/>
          <w:i w:val="0"/>
          <w:color w:val="1B2A32"/>
          <w:sz w:val="21"/>
        </w:rPr>
        <w:t xml:space="preserve">Every vertical rests on the same claim: that Equator is neutral, that its neutrals are independent, and that no party is pressured. A claim like that has to be </w:t>
      </w:r>
      <w:r>
        <w:rPr>
          <w:rFonts w:ascii="Calibri" w:hAnsi="Calibri"/>
          <w:b/>
          <w:i w:val="0"/>
          <w:color w:val="1B2A32"/>
          <w:sz w:val="21"/>
        </w:rPr>
        <w:t>measured</w:t>
      </w:r>
      <w:r>
        <w:rPr>
          <w:rFonts w:ascii="Calibri" w:hAnsi="Calibri"/>
          <w:b w:val="0"/>
          <w:i w:val="0"/>
          <w:color w:val="1B2A32"/>
          <w:sz w:val="21"/>
        </w:rPr>
        <w:t>, or it is marketing. This programme is the measurement — one methodology applied consistently across Family, Commercial, Financial, Workplace and Insurance.</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THE PRINCIPLE</w:t>
            </w:r>
          </w:p>
          <w:p>
            <w:r>
              <w:rPr>
                <w:rFonts w:ascii="Calibri" w:hAnsi="Calibri"/>
                <w:b w:val="0"/>
                <w:i w:val="0"/>
                <w:color w:val="1B2A32"/>
                <w:sz w:val="19"/>
              </w:rPr>
              <w:t>We audit our own files, we listen to our own calls, we score our own neutrals, and we publish our own outcomes. An institution that will not examine itself cannot ask a party to trust it.</w:t>
            </w:r>
          </w:p>
        </w:tc>
      </w:tr>
    </w:tbl>
    <w:p>
      <w:pPr>
        <w:spacing w:after="40"/>
      </w:pPr>
    </w:p>
    <w:p>
      <w:pPr>
        <w:keepNext/>
        <w:spacing w:before="280" w:after="120"/>
        <w:pBdr>
          <w:bottom w:val="single" w:sz="12" w:space="3" w:color="C6A15B"/>
        </w:pBdr>
      </w:pPr>
      <w:r>
        <w:rPr>
          <w:rFonts w:ascii="Calibri" w:hAnsi="Calibri"/>
          <w:b/>
          <w:i w:val="0"/>
          <w:color w:val="123B4F"/>
          <w:sz w:val="32"/>
        </w:rPr>
        <w:t>1.  1.  File audit</w:t>
      </w:r>
    </w:p>
    <w:p>
      <w:pPr>
        <w:spacing w:after="120"/>
        <w:jc w:val="both"/>
      </w:pPr>
      <w:r>
        <w:rPr>
          <w:rFonts w:ascii="Calibri" w:hAnsi="Calibri"/>
          <w:b w:val="0"/>
          <w:i w:val="0"/>
          <w:color w:val="1B2A32"/>
          <w:sz w:val="21"/>
        </w:rPr>
        <w:t>A sample of closed files is audited every month against a fixed checklist. The sample is stratified so that high-risk matter types (POSH, safety-flagged family, health-data insurance, large commercial) are always represented.</w:t>
      </w:r>
    </w:p>
    <w:tbl>
      <w:tblPr>
        <w:tblStyle w:val="TableGrid"/>
        <w:tblW w:type="auto" w:w="0"/>
        <w:jc w:val="center"/>
        <w:tblLook w:firstColumn="1" w:firstRow="1" w:lastColumn="0" w:lastRow="0" w:noHBand="0" w:noVBand="1" w:val="04A0"/>
      </w:tblPr>
      <w:tblGrid>
        <w:gridCol w:w="3168"/>
        <w:gridCol w:w="3168"/>
        <w:gridCol w:w="3168"/>
      </w:tblGrid>
      <w:tr>
        <w:tc>
          <w:tcPr>
            <w:tcW w:type="dxa" w:w="43200"/>
            <w:shd w:val="clear" w:fill="123B4F"/>
          </w:tcPr>
          <w:p>
            <w:r/>
            <w:r>
              <w:rPr>
                <w:rFonts w:ascii="Calibri" w:hAnsi="Calibri"/>
                <w:b/>
                <w:i w:val="0"/>
                <w:color w:val="FFFFFF"/>
                <w:sz w:val="18"/>
              </w:rPr>
              <w:t>Audit criterion</w:t>
            </w:r>
          </w:p>
        </w:tc>
        <w:tc>
          <w:tcPr>
            <w:tcW w:type="dxa" w:w="63360"/>
            <w:shd w:val="clear" w:fill="123B4F"/>
          </w:tcPr>
          <w:p>
            <w:r/>
            <w:r>
              <w:rPr>
                <w:rFonts w:ascii="Calibri" w:hAnsi="Calibri"/>
                <w:b/>
                <w:i w:val="0"/>
                <w:color w:val="FFFFFF"/>
                <w:sz w:val="18"/>
              </w:rPr>
              <w:t>What 'pass' looks like</w:t>
            </w:r>
          </w:p>
        </w:tc>
        <w:tc>
          <w:tcPr>
            <w:tcW w:type="dxa" w:w="37440"/>
            <w:shd w:val="clear" w:fill="123B4F"/>
          </w:tcPr>
          <w:p>
            <w:r/>
            <w:r>
              <w:rPr>
                <w:rFonts w:ascii="Calibri" w:hAnsi="Calibri"/>
                <w:b/>
                <w:i w:val="0"/>
                <w:color w:val="FFFFFF"/>
                <w:sz w:val="18"/>
              </w:rPr>
              <w:t>Applies to</w:t>
            </w:r>
          </w:p>
        </w:tc>
      </w:tr>
      <w:tr>
        <w:tc>
          <w:tcPr>
            <w:tcW w:type="dxa" w:w="43200"/>
          </w:tcPr>
          <w:p>
            <w:r/>
            <w:r>
              <w:rPr>
                <w:rFonts w:ascii="Calibri" w:hAnsi="Calibri"/>
                <w:b w:val="0"/>
                <w:i w:val="0"/>
                <w:color w:val="1B2A32"/>
                <w:sz w:val="18"/>
              </w:rPr>
              <w:t>Signposting delivered &amp; recorded</w:t>
            </w:r>
          </w:p>
        </w:tc>
        <w:tc>
          <w:tcPr>
            <w:tcW w:type="dxa" w:w="63360"/>
          </w:tcPr>
          <w:p>
            <w:r/>
            <w:r>
              <w:rPr>
                <w:rFonts w:ascii="Calibri" w:hAnsi="Calibri"/>
                <w:b w:val="0"/>
                <w:i w:val="0"/>
                <w:color w:val="1B2A32"/>
                <w:sz w:val="18"/>
              </w:rPr>
              <w:t>The rights/forum script recorded at first contact</w:t>
            </w:r>
          </w:p>
        </w:tc>
        <w:tc>
          <w:tcPr>
            <w:tcW w:type="dxa" w:w="37440"/>
          </w:tcPr>
          <w:p>
            <w:r/>
            <w:r>
              <w:rPr>
                <w:rFonts w:ascii="Calibri" w:hAnsi="Calibri"/>
                <w:b w:val="0"/>
                <w:i w:val="0"/>
                <w:color w:val="1B2A32"/>
                <w:sz w:val="18"/>
              </w:rPr>
              <w:t>Ins, Fin, WP, Fam</w:t>
            </w:r>
          </w:p>
        </w:tc>
      </w:tr>
      <w:tr>
        <w:tc>
          <w:tcPr>
            <w:tcW w:type="dxa" w:w="43200"/>
            <w:shd w:val="clear" w:fill="F3F7F9"/>
          </w:tcPr>
          <w:p>
            <w:r/>
            <w:r>
              <w:rPr>
                <w:rFonts w:ascii="Calibri" w:hAnsi="Calibri"/>
                <w:b w:val="0"/>
                <w:i w:val="0"/>
                <w:color w:val="1B2A32"/>
                <w:sz w:val="18"/>
              </w:rPr>
              <w:t>Clocks owned; none expired on our watch</w:t>
            </w:r>
          </w:p>
        </w:tc>
        <w:tc>
          <w:tcPr>
            <w:tcW w:type="dxa" w:w="63360"/>
            <w:shd w:val="clear" w:fill="F3F7F9"/>
          </w:tcPr>
          <w:p>
            <w:r/>
            <w:r>
              <w:rPr>
                <w:rFonts w:ascii="Calibri" w:hAnsi="Calibri"/>
                <w:b w:val="0"/>
                <w:i w:val="0"/>
                <w:color w:val="1B2A32"/>
                <w:sz w:val="18"/>
              </w:rPr>
              <w:t>Every clock owned; zero unprompted expiries</w:t>
            </w:r>
          </w:p>
        </w:tc>
        <w:tc>
          <w:tcPr>
            <w:tcW w:type="dxa" w:w="37440"/>
            <w:shd w:val="clear" w:fill="F3F7F9"/>
          </w:tcPr>
          <w:p>
            <w:r/>
            <w:r>
              <w:rPr>
                <w:rFonts w:ascii="Calibri" w:hAnsi="Calibri"/>
                <w:b w:val="0"/>
                <w:i w:val="0"/>
                <w:color w:val="1B2A32"/>
                <w:sz w:val="18"/>
              </w:rPr>
              <w:t>Ins, Fin, Fam</w:t>
            </w:r>
          </w:p>
        </w:tc>
      </w:tr>
      <w:tr>
        <w:tc>
          <w:tcPr>
            <w:tcW w:type="dxa" w:w="43200"/>
          </w:tcPr>
          <w:p>
            <w:r/>
            <w:r>
              <w:rPr>
                <w:rFonts w:ascii="Calibri" w:hAnsi="Calibri"/>
                <w:b w:val="0"/>
                <w:i w:val="0"/>
                <w:color w:val="1B2A32"/>
                <w:sz w:val="18"/>
              </w:rPr>
              <w:t>Correct forum / route</w:t>
            </w:r>
          </w:p>
        </w:tc>
        <w:tc>
          <w:tcPr>
            <w:tcW w:type="dxa" w:w="63360"/>
          </w:tcPr>
          <w:p>
            <w:r/>
            <w:r>
              <w:rPr>
                <w:rFonts w:ascii="Calibri" w:hAnsi="Calibri"/>
                <w:b w:val="0"/>
                <w:i w:val="0"/>
                <w:color w:val="1B2A32"/>
                <w:sz w:val="18"/>
              </w:rPr>
              <w:t>The matrix route matches the facts; special forums recognised</w:t>
            </w:r>
          </w:p>
        </w:tc>
        <w:tc>
          <w:tcPr>
            <w:tcW w:type="dxa" w:w="37440"/>
          </w:tcPr>
          <w:p>
            <w:r/>
            <w:r>
              <w:rPr>
                <w:rFonts w:ascii="Calibri" w:hAnsi="Calibri"/>
                <w:b w:val="0"/>
                <w:i w:val="0"/>
                <w:color w:val="1B2A32"/>
                <w:sz w:val="18"/>
              </w:rPr>
              <w:t>All</w:t>
            </w:r>
          </w:p>
        </w:tc>
      </w:tr>
      <w:tr>
        <w:tc>
          <w:tcPr>
            <w:tcW w:type="dxa" w:w="43200"/>
            <w:shd w:val="clear" w:fill="F3F7F9"/>
          </w:tcPr>
          <w:p>
            <w:r/>
            <w:r>
              <w:rPr>
                <w:rFonts w:ascii="Calibri" w:hAnsi="Calibri"/>
                <w:b w:val="0"/>
                <w:i w:val="0"/>
                <w:color w:val="1B2A32"/>
                <w:sz w:val="18"/>
              </w:rPr>
              <w:t>Independence &amp; disclosure complete</w:t>
            </w:r>
          </w:p>
        </w:tc>
        <w:tc>
          <w:tcPr>
            <w:tcW w:type="dxa" w:w="63360"/>
            <w:shd w:val="clear" w:fill="F3F7F9"/>
          </w:tcPr>
          <w:p>
            <w:r/>
            <w:r>
              <w:rPr>
                <w:rFonts w:ascii="Calibri" w:hAnsi="Calibri"/>
                <w:b w:val="0"/>
                <w:i w:val="0"/>
                <w:color w:val="1B2A32"/>
                <w:sz w:val="18"/>
              </w:rPr>
              <w:t>Neutral disclosure on file; no undisclosed conflict</w:t>
            </w:r>
          </w:p>
        </w:tc>
        <w:tc>
          <w:tcPr>
            <w:tcW w:type="dxa" w:w="37440"/>
            <w:shd w:val="clear" w:fill="F3F7F9"/>
          </w:tcPr>
          <w:p>
            <w:r/>
            <w:r>
              <w:rPr>
                <w:rFonts w:ascii="Calibri" w:hAnsi="Calibri"/>
                <w:b w:val="0"/>
                <w:i w:val="0"/>
                <w:color w:val="1B2A32"/>
                <w:sz w:val="18"/>
              </w:rPr>
              <w:t>All</w:t>
            </w:r>
          </w:p>
        </w:tc>
      </w:tr>
      <w:tr>
        <w:tc>
          <w:tcPr>
            <w:tcW w:type="dxa" w:w="43200"/>
          </w:tcPr>
          <w:p>
            <w:r/>
            <w:r>
              <w:rPr>
                <w:rFonts w:ascii="Calibri" w:hAnsi="Calibri"/>
                <w:b w:val="0"/>
                <w:i w:val="0"/>
                <w:color w:val="1B2A32"/>
                <w:sz w:val="18"/>
              </w:rPr>
              <w:t>Safety screening before any joint session</w:t>
            </w:r>
          </w:p>
        </w:tc>
        <w:tc>
          <w:tcPr>
            <w:tcW w:type="dxa" w:w="63360"/>
          </w:tcPr>
          <w:p>
            <w:r/>
            <w:r>
              <w:rPr>
                <w:rFonts w:ascii="Calibri" w:hAnsi="Calibri"/>
                <w:b w:val="0"/>
                <w:i w:val="0"/>
                <w:color w:val="1B2A32"/>
                <w:sz w:val="18"/>
              </w:rPr>
              <w:t>Screening recorded; no joint session on a flag</w:t>
            </w:r>
          </w:p>
        </w:tc>
        <w:tc>
          <w:tcPr>
            <w:tcW w:type="dxa" w:w="37440"/>
          </w:tcPr>
          <w:p>
            <w:r/>
            <w:r>
              <w:rPr>
                <w:rFonts w:ascii="Calibri" w:hAnsi="Calibri"/>
                <w:b w:val="0"/>
                <w:i w:val="0"/>
                <w:color w:val="1B2A32"/>
                <w:sz w:val="18"/>
              </w:rPr>
              <w:t>Fam, WP</w:t>
            </w:r>
          </w:p>
        </w:tc>
      </w:tr>
      <w:tr>
        <w:tc>
          <w:tcPr>
            <w:tcW w:type="dxa" w:w="43200"/>
            <w:shd w:val="clear" w:fill="F3F7F9"/>
          </w:tcPr>
          <w:p>
            <w:r/>
            <w:r>
              <w:rPr>
                <w:rFonts w:ascii="Calibri" w:hAnsi="Calibri"/>
                <w:b w:val="0"/>
                <w:i w:val="0"/>
                <w:color w:val="1B2A32"/>
                <w:sz w:val="18"/>
              </w:rPr>
              <w:t>Statutory entitlement not waived</w:t>
            </w:r>
          </w:p>
        </w:tc>
        <w:tc>
          <w:tcPr>
            <w:tcW w:type="dxa" w:w="63360"/>
            <w:shd w:val="clear" w:fill="F3F7F9"/>
          </w:tcPr>
          <w:p>
            <w:r/>
            <w:r>
              <w:rPr>
                <w:rFonts w:ascii="Calibri" w:hAnsi="Calibri"/>
                <w:b w:val="0"/>
                <w:i w:val="0"/>
                <w:color w:val="1B2A32"/>
                <w:sz w:val="18"/>
              </w:rPr>
              <w:t>No settlement waiving maintenance / statutory dues / non-waivable rights</w:t>
            </w:r>
          </w:p>
        </w:tc>
        <w:tc>
          <w:tcPr>
            <w:tcW w:type="dxa" w:w="37440"/>
            <w:shd w:val="clear" w:fill="F3F7F9"/>
          </w:tcPr>
          <w:p>
            <w:r/>
            <w:r>
              <w:rPr>
                <w:rFonts w:ascii="Calibri" w:hAnsi="Calibri"/>
                <w:b w:val="0"/>
                <w:i w:val="0"/>
                <w:color w:val="1B2A32"/>
                <w:sz w:val="18"/>
              </w:rPr>
              <w:t>All</w:t>
            </w:r>
          </w:p>
        </w:tc>
      </w:tr>
      <w:tr>
        <w:tc>
          <w:tcPr>
            <w:tcW w:type="dxa" w:w="43200"/>
          </w:tcPr>
          <w:p>
            <w:r/>
            <w:r>
              <w:rPr>
                <w:rFonts w:ascii="Calibri" w:hAnsi="Calibri"/>
                <w:b w:val="0"/>
                <w:i w:val="0"/>
                <w:color w:val="1B2A32"/>
                <w:sz w:val="18"/>
              </w:rPr>
              <w:t>Sensitive data handled correctly</w:t>
            </w:r>
          </w:p>
        </w:tc>
        <w:tc>
          <w:tcPr>
            <w:tcW w:type="dxa" w:w="63360"/>
          </w:tcPr>
          <w:p>
            <w:r/>
            <w:r>
              <w:rPr>
                <w:rFonts w:ascii="Calibri" w:hAnsi="Calibri"/>
                <w:b w:val="0"/>
                <w:i w:val="0"/>
                <w:color w:val="1B2A32"/>
                <w:sz w:val="18"/>
              </w:rPr>
              <w:t>Health/POSH access logged; no leakage</w:t>
            </w:r>
          </w:p>
        </w:tc>
        <w:tc>
          <w:tcPr>
            <w:tcW w:type="dxa" w:w="37440"/>
          </w:tcPr>
          <w:p>
            <w:r/>
            <w:r>
              <w:rPr>
                <w:rFonts w:ascii="Calibri" w:hAnsi="Calibri"/>
                <w:b w:val="0"/>
                <w:i w:val="0"/>
                <w:color w:val="1B2A32"/>
                <w:sz w:val="18"/>
              </w:rPr>
              <w:t>Ins, WP</w:t>
            </w:r>
          </w:p>
        </w:tc>
      </w:tr>
      <w:tr>
        <w:tc>
          <w:tcPr>
            <w:tcW w:type="dxa" w:w="43200"/>
            <w:shd w:val="clear" w:fill="F3F7F9"/>
          </w:tcPr>
          <w:p>
            <w:r/>
            <w:r>
              <w:rPr>
                <w:rFonts w:ascii="Calibri" w:hAnsi="Calibri"/>
                <w:b w:val="0"/>
                <w:i w:val="0"/>
                <w:color w:val="1B2A32"/>
                <w:sz w:val="18"/>
              </w:rPr>
              <w:t>Voluntariness</w:t>
            </w:r>
          </w:p>
        </w:tc>
        <w:tc>
          <w:tcPr>
            <w:tcW w:type="dxa" w:w="63360"/>
            <w:shd w:val="clear" w:fill="F3F7F9"/>
          </w:tcPr>
          <w:p>
            <w:r/>
            <w:r>
              <w:rPr>
                <w:rFonts w:ascii="Calibri" w:hAnsi="Calibri"/>
                <w:b w:val="0"/>
                <w:i w:val="0"/>
                <w:color w:val="1B2A32"/>
                <w:sz w:val="18"/>
              </w:rPr>
              <w:t>No sign of pressure; party understood the settlement</w:t>
            </w:r>
          </w:p>
        </w:tc>
        <w:tc>
          <w:tcPr>
            <w:tcW w:type="dxa" w:w="37440"/>
            <w:shd w:val="clear" w:fill="F3F7F9"/>
          </w:tcPr>
          <w:p>
            <w:r/>
            <w:r>
              <w:rPr>
                <w:rFonts w:ascii="Calibri" w:hAnsi="Calibri"/>
                <w:b w:val="0"/>
                <w:i w:val="0"/>
                <w:color w:val="1B2A32"/>
                <w:sz w:val="18"/>
              </w:rPr>
              <w:t>All</w:t>
            </w:r>
          </w:p>
        </w:tc>
      </w:tr>
      <w:tr>
        <w:tc>
          <w:tcPr>
            <w:tcW w:type="dxa" w:w="43200"/>
          </w:tcPr>
          <w:p>
            <w:r/>
            <w:r>
              <w:rPr>
                <w:rFonts w:ascii="Calibri" w:hAnsi="Calibri"/>
                <w:b w:val="0"/>
                <w:i w:val="0"/>
                <w:color w:val="1B2A32"/>
                <w:sz w:val="18"/>
              </w:rPr>
              <w:t>Performance verified before closure</w:t>
            </w:r>
          </w:p>
        </w:tc>
        <w:tc>
          <w:tcPr>
            <w:tcW w:type="dxa" w:w="63360"/>
          </w:tcPr>
          <w:p>
            <w:r/>
            <w:r>
              <w:rPr>
                <w:rFonts w:ascii="Calibri" w:hAnsi="Calibri"/>
                <w:b w:val="0"/>
                <w:i w:val="0"/>
                <w:color w:val="1B2A32"/>
                <w:sz w:val="18"/>
              </w:rPr>
              <w:t>Payment/reinstatement/registration evidenced</w:t>
            </w:r>
          </w:p>
        </w:tc>
        <w:tc>
          <w:tcPr>
            <w:tcW w:type="dxa" w:w="37440"/>
          </w:tcPr>
          <w:p>
            <w:r/>
            <w:r>
              <w:rPr>
                <w:rFonts w:ascii="Calibri" w:hAnsi="Calibri"/>
                <w:b w:val="0"/>
                <w:i w:val="0"/>
                <w:color w:val="1B2A32"/>
                <w:sz w:val="18"/>
              </w:rPr>
              <w:t>All</w:t>
            </w:r>
          </w:p>
        </w:tc>
      </w:tr>
    </w:tbl>
    <w:p>
      <w:pPr>
        <w:spacing w:after="40"/>
      </w:pPr>
    </w:p>
    <w:p>
      <w:pPr>
        <w:keepNext/>
        <w:spacing w:before="280" w:after="120"/>
        <w:pBdr>
          <w:bottom w:val="single" w:sz="12" w:space="3" w:color="C6A15B"/>
        </w:pBdr>
      </w:pPr>
      <w:r>
        <w:rPr>
          <w:rFonts w:ascii="Calibri" w:hAnsi="Calibri"/>
          <w:b/>
          <w:i w:val="0"/>
          <w:color w:val="123B4F"/>
          <w:sz w:val="32"/>
        </w:rPr>
        <w:t>2.  2.  Call &amp; session sampling</w:t>
      </w:r>
    </w:p>
    <w:p>
      <w:pPr>
        <w:pStyle w:val="ListBullet"/>
        <w:spacing w:after="60"/>
        <w:jc w:val="both"/>
      </w:pPr>
      <w:r>
        <w:rPr>
          <w:rFonts w:ascii="Calibri" w:hAnsi="Calibri"/>
          <w:b w:val="0"/>
          <w:i w:val="0"/>
          <w:color w:val="1B2A32"/>
          <w:sz w:val="21"/>
        </w:rPr>
        <w:t>A random sample of recorded intake calls and sessions (with consent) is reviewed monthly against the signposting script and the neutral-conduct standards.</w:t>
      </w:r>
    </w:p>
    <w:p>
      <w:pPr>
        <w:pStyle w:val="ListBullet"/>
        <w:spacing w:after="60"/>
        <w:jc w:val="both"/>
      </w:pPr>
      <w:r>
        <w:rPr>
          <w:rFonts w:ascii="Calibri" w:hAnsi="Calibri"/>
          <w:b w:val="0"/>
          <w:i w:val="0"/>
          <w:color w:val="1B2A32"/>
          <w:sz w:val="21"/>
        </w:rPr>
        <w:t>The reviewer scores, for each: was the free/statutory forum named; were the deadlines given; did the neutral avoid advising or predicting; was the party treated with dignity; did anyone feel pushed.</w:t>
      </w:r>
    </w:p>
    <w:p>
      <w:pPr>
        <w:pStyle w:val="ListBullet"/>
        <w:spacing w:after="60"/>
        <w:jc w:val="both"/>
      </w:pPr>
      <w:r>
        <w:rPr>
          <w:rFonts w:ascii="Calibri" w:hAnsi="Calibri"/>
          <w:b w:val="0"/>
          <w:i w:val="0"/>
          <w:color w:val="1B2A32"/>
          <w:sz w:val="21"/>
        </w:rPr>
        <w:t>For safety-sensitive verticals, a specialist reviewer checks the screening and the handling of any disclosure.</w:t>
      </w:r>
    </w:p>
    <w:p>
      <w:pPr>
        <w:keepNext/>
        <w:spacing w:before="280" w:after="120"/>
        <w:pBdr>
          <w:bottom w:val="single" w:sz="12" w:space="3" w:color="C6A15B"/>
        </w:pBdr>
      </w:pPr>
      <w:r>
        <w:rPr>
          <w:rFonts w:ascii="Calibri" w:hAnsi="Calibri"/>
          <w:b/>
          <w:i w:val="0"/>
          <w:color w:val="123B4F"/>
          <w:sz w:val="32"/>
        </w:rPr>
        <w:t>3.  3.  Neutral quality scoring</w:t>
      </w: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Dimension</w:t>
            </w:r>
          </w:p>
        </w:tc>
        <w:tc>
          <w:tcPr>
            <w:tcW w:type="dxa" w:w="63360"/>
            <w:shd w:val="clear" w:fill="123B4F"/>
          </w:tcPr>
          <w:p>
            <w:r/>
            <w:r>
              <w:rPr>
                <w:rFonts w:ascii="Calibri" w:hAnsi="Calibri"/>
                <w:b/>
                <w:i w:val="0"/>
                <w:color w:val="FFFFFF"/>
                <w:sz w:val="18"/>
              </w:rPr>
              <w:t>How measured</w:t>
            </w:r>
          </w:p>
        </w:tc>
        <w:tc>
          <w:tcPr>
            <w:tcW w:type="dxa" w:w="46080"/>
            <w:shd w:val="clear" w:fill="123B4F"/>
          </w:tcPr>
          <w:p>
            <w:r/>
            <w:r>
              <w:rPr>
                <w:rFonts w:ascii="Calibri" w:hAnsi="Calibri"/>
                <w:b/>
                <w:i w:val="0"/>
                <w:color w:val="FFFFFF"/>
                <w:sz w:val="18"/>
              </w:rPr>
              <w:t>Consequence</w:t>
            </w:r>
          </w:p>
        </w:tc>
      </w:tr>
      <w:tr>
        <w:tc>
          <w:tcPr>
            <w:tcW w:type="dxa" w:w="34560"/>
          </w:tcPr>
          <w:p>
            <w:r/>
            <w:r>
              <w:rPr>
                <w:rFonts w:ascii="Calibri" w:hAnsi="Calibri"/>
                <w:b w:val="0"/>
                <w:i w:val="0"/>
                <w:color w:val="1B2A32"/>
                <w:sz w:val="18"/>
              </w:rPr>
              <w:t>Independence</w:t>
            </w:r>
          </w:p>
        </w:tc>
        <w:tc>
          <w:tcPr>
            <w:tcW w:type="dxa" w:w="63360"/>
          </w:tcPr>
          <w:p>
            <w:r/>
            <w:r>
              <w:rPr>
                <w:rFonts w:ascii="Calibri" w:hAnsi="Calibri"/>
                <w:b w:val="0"/>
                <w:i w:val="0"/>
                <w:color w:val="1B2A32"/>
                <w:sz w:val="18"/>
              </w:rPr>
              <w:t>Disclosure completeness; appointment-concentration by counterparty</w:t>
            </w:r>
          </w:p>
        </w:tc>
        <w:tc>
          <w:tcPr>
            <w:tcW w:type="dxa" w:w="46080"/>
          </w:tcPr>
          <w:p>
            <w:r/>
            <w:r>
              <w:rPr>
                <w:rFonts w:ascii="Calibri" w:hAnsi="Calibri"/>
                <w:b w:val="0"/>
                <w:i w:val="0"/>
                <w:color w:val="1B2A32"/>
                <w:sz w:val="18"/>
              </w:rPr>
              <w:t>Concentration cap; rotation; suspension on failure</w:t>
            </w:r>
          </w:p>
        </w:tc>
      </w:tr>
      <w:tr>
        <w:tc>
          <w:tcPr>
            <w:tcW w:type="dxa" w:w="34560"/>
            <w:shd w:val="clear" w:fill="F3F7F9"/>
          </w:tcPr>
          <w:p>
            <w:r/>
            <w:r>
              <w:rPr>
                <w:rFonts w:ascii="Calibri" w:hAnsi="Calibri"/>
                <w:b w:val="0"/>
                <w:i w:val="0"/>
                <w:color w:val="1B2A32"/>
                <w:sz w:val="18"/>
              </w:rPr>
              <w:t>Process fidelity</w:t>
            </w:r>
          </w:p>
        </w:tc>
        <w:tc>
          <w:tcPr>
            <w:tcW w:type="dxa" w:w="63360"/>
            <w:shd w:val="clear" w:fill="F3F7F9"/>
          </w:tcPr>
          <w:p>
            <w:r/>
            <w:r>
              <w:rPr>
                <w:rFonts w:ascii="Calibri" w:hAnsi="Calibri"/>
                <w:b w:val="0"/>
                <w:i w:val="0"/>
                <w:color w:val="1B2A32"/>
                <w:sz w:val="18"/>
              </w:rPr>
              <w:t>File audit &amp; session sampling against the conduct standard</w:t>
            </w:r>
          </w:p>
        </w:tc>
        <w:tc>
          <w:tcPr>
            <w:tcW w:type="dxa" w:w="46080"/>
            <w:shd w:val="clear" w:fill="F3F7F9"/>
          </w:tcPr>
          <w:p>
            <w:r/>
            <w:r>
              <w:rPr>
                <w:rFonts w:ascii="Calibri" w:hAnsi="Calibri"/>
                <w:b w:val="0"/>
                <w:i w:val="0"/>
                <w:color w:val="1B2A32"/>
                <w:sz w:val="18"/>
              </w:rPr>
              <w:t>Coaching; re-training; removal</w:t>
            </w:r>
          </w:p>
        </w:tc>
      </w:tr>
      <w:tr>
        <w:tc>
          <w:tcPr>
            <w:tcW w:type="dxa" w:w="34560"/>
          </w:tcPr>
          <w:p>
            <w:r/>
            <w:r>
              <w:rPr>
                <w:rFonts w:ascii="Calibri" w:hAnsi="Calibri"/>
                <w:b w:val="0"/>
                <w:i w:val="0"/>
                <w:color w:val="1B2A32"/>
                <w:sz w:val="18"/>
              </w:rPr>
              <w:t>Party feedback</w:t>
            </w:r>
          </w:p>
        </w:tc>
        <w:tc>
          <w:tcPr>
            <w:tcW w:type="dxa" w:w="63360"/>
          </w:tcPr>
          <w:p>
            <w:r/>
            <w:r>
              <w:rPr>
                <w:rFonts w:ascii="Calibri" w:hAnsi="Calibri"/>
                <w:b w:val="0"/>
                <w:i w:val="0"/>
                <w:color w:val="1B2A32"/>
                <w:sz w:val="18"/>
              </w:rPr>
              <w:t>CSAT and the standing question: 'did you feel pressured to settle?'</w:t>
            </w:r>
          </w:p>
        </w:tc>
        <w:tc>
          <w:tcPr>
            <w:tcW w:type="dxa" w:w="46080"/>
          </w:tcPr>
          <w:p>
            <w:r/>
            <w:r>
              <w:rPr>
                <w:rFonts w:ascii="Calibri" w:hAnsi="Calibri"/>
                <w:b w:val="0"/>
                <w:i w:val="0"/>
                <w:color w:val="1B2A32"/>
                <w:sz w:val="18"/>
              </w:rPr>
              <w:t>Low pressure &amp; high fairness weighted above settlement rate</w:t>
            </w:r>
          </w:p>
        </w:tc>
      </w:tr>
      <w:tr>
        <w:tc>
          <w:tcPr>
            <w:tcW w:type="dxa" w:w="34560"/>
            <w:shd w:val="clear" w:fill="F3F7F9"/>
          </w:tcPr>
          <w:p>
            <w:r/>
            <w:r>
              <w:rPr>
                <w:rFonts w:ascii="Calibri" w:hAnsi="Calibri"/>
                <w:b w:val="0"/>
                <w:i w:val="0"/>
                <w:color w:val="1B2A32"/>
                <w:sz w:val="18"/>
              </w:rPr>
              <w:t>Settlement durability</w:t>
            </w:r>
          </w:p>
        </w:tc>
        <w:tc>
          <w:tcPr>
            <w:tcW w:type="dxa" w:w="63360"/>
            <w:shd w:val="clear" w:fill="F3F7F9"/>
          </w:tcPr>
          <w:p>
            <w:r/>
            <w:r>
              <w:rPr>
                <w:rFonts w:ascii="Calibri" w:hAnsi="Calibri"/>
                <w:b w:val="0"/>
                <w:i w:val="0"/>
                <w:color w:val="1B2A32"/>
                <w:sz w:val="18"/>
              </w:rPr>
              <w:t>Post-settlement performance and complaint rate</w:t>
            </w:r>
          </w:p>
        </w:tc>
        <w:tc>
          <w:tcPr>
            <w:tcW w:type="dxa" w:w="46080"/>
            <w:shd w:val="clear" w:fill="F3F7F9"/>
          </w:tcPr>
          <w:p>
            <w:r/>
            <w:r>
              <w:rPr>
                <w:rFonts w:ascii="Calibri" w:hAnsi="Calibri"/>
                <w:b w:val="0"/>
                <w:i w:val="0"/>
                <w:color w:val="1B2A32"/>
                <w:sz w:val="18"/>
              </w:rPr>
              <w:t>Durable settlements weighted above fast ones</w:t>
            </w:r>
          </w:p>
        </w:tc>
      </w:tr>
      <w:tr>
        <w:tc>
          <w:tcPr>
            <w:tcW w:type="dxa" w:w="34560"/>
          </w:tcPr>
          <w:p>
            <w:r/>
            <w:r>
              <w:rPr>
                <w:rFonts w:ascii="Calibri" w:hAnsi="Calibri"/>
                <w:b w:val="0"/>
                <w:i w:val="0"/>
                <w:color w:val="1B2A32"/>
                <w:sz w:val="18"/>
              </w:rPr>
              <w:t>CPD &amp; currency</w:t>
            </w:r>
          </w:p>
        </w:tc>
        <w:tc>
          <w:tcPr>
            <w:tcW w:type="dxa" w:w="63360"/>
          </w:tcPr>
          <w:p>
            <w:r/>
            <w:r>
              <w:rPr>
                <w:rFonts w:ascii="Calibri" w:hAnsi="Calibri"/>
                <w:b w:val="0"/>
                <w:i w:val="0"/>
                <w:color w:val="1B2A32"/>
                <w:sz w:val="18"/>
              </w:rPr>
              <w:t>Completed CPD; ethics refresher; PI cover</w:t>
            </w:r>
          </w:p>
        </w:tc>
        <w:tc>
          <w:tcPr>
            <w:tcW w:type="dxa" w:w="46080"/>
          </w:tcPr>
          <w:p>
            <w:r/>
            <w:r>
              <w:rPr>
                <w:rFonts w:ascii="Calibri" w:hAnsi="Calibri"/>
                <w:b w:val="0"/>
                <w:i w:val="0"/>
                <w:color w:val="1B2A32"/>
                <w:sz w:val="18"/>
              </w:rPr>
              <w:t>Panel eligibility</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WHAT WE DO NOT MEASURE NEUTRALS ON</w:t>
            </w:r>
          </w:p>
          <w:p>
            <w:r>
              <w:rPr>
                <w:rFonts w:ascii="Calibri" w:hAnsi="Calibri"/>
                <w:b w:val="0"/>
                <w:i w:val="0"/>
                <w:color w:val="1B2A32"/>
                <w:sz w:val="19"/>
              </w:rPr>
              <w:t xml:space="preserve">We do </w:t>
            </w:r>
            <w:r>
              <w:rPr>
                <w:rFonts w:ascii="Calibri" w:hAnsi="Calibri"/>
                <w:b/>
                <w:i w:val="0"/>
                <w:color w:val="1B2A32"/>
                <w:sz w:val="19"/>
              </w:rPr>
              <w:t>not</w:t>
            </w:r>
            <w:r>
              <w:rPr>
                <w:rFonts w:ascii="Calibri" w:hAnsi="Calibri"/>
                <w:b w:val="0"/>
                <w:i w:val="0"/>
                <w:color w:val="1B2A32"/>
                <w:sz w:val="19"/>
              </w:rPr>
              <w:t xml:space="preserve"> rank neutrals primarily by settlement rate. A neutral who settles everything may be pressuring parties; a neutral who declines to push a weak settlement is doing the job. Fairness and voluntariness sit above throughput in every scorecard.</w:t>
            </w:r>
          </w:p>
        </w:tc>
      </w:tr>
    </w:tbl>
    <w:p>
      <w:pPr>
        <w:spacing w:after="40"/>
      </w:pPr>
    </w:p>
    <w:p>
      <w:pPr>
        <w:keepNext/>
        <w:spacing w:before="280" w:after="120"/>
        <w:pBdr>
          <w:bottom w:val="single" w:sz="12" w:space="3" w:color="C6A15B"/>
        </w:pBdr>
      </w:pPr>
      <w:r>
        <w:rPr>
          <w:rFonts w:ascii="Calibri" w:hAnsi="Calibri"/>
          <w:b/>
          <w:i w:val="0"/>
          <w:color w:val="123B4F"/>
          <w:sz w:val="32"/>
        </w:rPr>
        <w:t>4.  4.  Calibration sessions</w:t>
      </w:r>
    </w:p>
    <w:p>
      <w:pPr>
        <w:spacing w:after="120"/>
        <w:jc w:val="both"/>
      </w:pPr>
      <w:r>
        <w:rPr>
          <w:rFonts w:ascii="Calibri" w:hAnsi="Calibri"/>
          <w:b w:val="0"/>
          <w:i w:val="0"/>
          <w:color w:val="1B2A32"/>
          <w:sz w:val="21"/>
        </w:rPr>
        <w:t>Quarterly calibration brings neutrals and case managers together to score the same anonymised files and resolve divergence — so 'fair' means the same thing across the panel and across verticals. Cross-vertical calibration (e.g. how a safety flag is handled in Family vs Workplace) is run twice a year.</w:t>
      </w:r>
    </w:p>
    <w:p>
      <w:pPr>
        <w:keepNext/>
        <w:spacing w:before="280" w:after="120"/>
        <w:pBdr>
          <w:bottom w:val="single" w:sz="12" w:space="3" w:color="C6A15B"/>
        </w:pBdr>
      </w:pPr>
      <w:r>
        <w:rPr>
          <w:rFonts w:ascii="Calibri" w:hAnsi="Calibri"/>
          <w:b/>
          <w:i w:val="0"/>
          <w:color w:val="123B4F"/>
          <w:sz w:val="32"/>
        </w:rPr>
        <w:t>5.  5.  Mystery shopping</w:t>
      </w:r>
    </w:p>
    <w:p>
      <w:pPr>
        <w:spacing w:after="120"/>
        <w:jc w:val="both"/>
      </w:pPr>
      <w:r>
        <w:rPr>
          <w:rFonts w:ascii="Calibri" w:hAnsi="Calibri"/>
          <w:b w:val="0"/>
          <w:i w:val="0"/>
          <w:color w:val="1B2A32"/>
          <w:sz w:val="21"/>
        </w:rPr>
        <w:t>Trained testers approach the platform as parties in each vertical, including as vulnerable or bereaved parties, to verify that the signposting, the safety screening and the human-handoff behave as specified — in the live product, not just the spec.</w:t>
      </w:r>
    </w:p>
    <w:p>
      <w:pPr>
        <w:keepNext/>
        <w:spacing w:before="280" w:after="120"/>
        <w:pBdr>
          <w:bottom w:val="single" w:sz="12" w:space="3" w:color="C6A15B"/>
        </w:pBdr>
      </w:pPr>
      <w:r>
        <w:rPr>
          <w:rFonts w:ascii="Calibri" w:hAnsi="Calibri"/>
          <w:b/>
          <w:i w:val="0"/>
          <w:color w:val="123B4F"/>
          <w:sz w:val="32"/>
        </w:rPr>
        <w:t>6.  6.  Complaints against Equator</w:t>
      </w:r>
    </w:p>
    <w:p>
      <w:pPr>
        <w:spacing w:after="120"/>
        <w:jc w:val="both"/>
      </w:pPr>
      <w:r>
        <w:rPr>
          <w:rFonts w:ascii="Calibri" w:hAnsi="Calibri"/>
          <w:b w:val="0"/>
          <w:i w:val="0"/>
          <w:color w:val="1B2A32"/>
          <w:sz w:val="21"/>
        </w:rPr>
        <w:t>A party dissatisfied with the conduct of a matter complains to the Grievance Officer. Complaints about a neutral go to the Panel Committee, which may reprimand, suspend or remove. Every complaint is logged, themed, and fed back into the audit checklist and training.</w:t>
      </w:r>
    </w:p>
    <w:p>
      <w:pPr>
        <w:keepNext/>
        <w:spacing w:before="280" w:after="120"/>
        <w:pBdr>
          <w:bottom w:val="single" w:sz="12" w:space="3" w:color="C6A15B"/>
        </w:pBdr>
      </w:pPr>
      <w:r>
        <w:rPr>
          <w:rFonts w:ascii="Calibri" w:hAnsi="Calibri"/>
          <w:b/>
          <w:i w:val="0"/>
          <w:color w:val="123B4F"/>
          <w:sz w:val="32"/>
        </w:rPr>
        <w:t>7.  7.  Published outcomes</w:t>
      </w:r>
    </w:p>
    <w:p>
      <w:pPr>
        <w:spacing w:after="120"/>
        <w:jc w:val="both"/>
      </w:pPr>
      <w:r>
        <w:rPr>
          <w:rFonts w:ascii="Calibri" w:hAnsi="Calibri"/>
          <w:b w:val="0"/>
          <w:i w:val="0"/>
          <w:color w:val="1B2A32"/>
          <w:sz w:val="21"/>
        </w:rPr>
        <w:t>Aggregate, anonymised outcomes are published quarterly for each vertical — matters handled, settlement rate, recovery ratio where relevant, and, for verticals with a repeat-player counterparty (insurers, employers, lenders), the distribution of outcomes by that counterparty. Methodology and case mix are published alongside the figures so the numbers cannot be read as evidence of bias.</w:t>
      </w:r>
    </w:p>
    <w:p>
      <w:pPr>
        <w:keepNext/>
        <w:spacing w:before="280" w:after="120"/>
        <w:pBdr>
          <w:bottom w:val="single" w:sz="12" w:space="3" w:color="C6A15B"/>
        </w:pBdr>
      </w:pPr>
      <w:r>
        <w:rPr>
          <w:rFonts w:ascii="Calibri" w:hAnsi="Calibri"/>
          <w:b/>
          <w:i w:val="0"/>
          <w:color w:val="123B4F"/>
          <w:sz w:val="32"/>
        </w:rPr>
        <w:t>8.  8.  The QA calendar</w:t>
      </w:r>
    </w:p>
    <w:tbl>
      <w:tblPr>
        <w:tblStyle w:val="TableGrid"/>
        <w:tblW w:type="auto" w:w="0"/>
        <w:jc w:val="center"/>
        <w:tblLook w:firstColumn="1" w:firstRow="1" w:lastColumn="0" w:lastRow="0" w:noHBand="0" w:noVBand="1" w:val="04A0"/>
      </w:tblPr>
      <w:tblGrid>
        <w:gridCol w:w="4752"/>
        <w:gridCol w:w="4752"/>
      </w:tblGrid>
      <w:tr>
        <w:tc>
          <w:tcPr>
            <w:tcW w:type="dxa" w:w="31680"/>
            <w:shd w:val="clear" w:fill="123B4F"/>
          </w:tcPr>
          <w:p>
            <w:r/>
            <w:r>
              <w:rPr>
                <w:rFonts w:ascii="Calibri" w:hAnsi="Calibri"/>
                <w:b/>
                <w:i w:val="0"/>
                <w:color w:val="FFFFFF"/>
                <w:sz w:val="18"/>
              </w:rPr>
              <w:t>Cadence</w:t>
            </w:r>
          </w:p>
        </w:tc>
        <w:tc>
          <w:tcPr>
            <w:tcW w:type="dxa" w:w="112320"/>
            <w:shd w:val="clear" w:fill="123B4F"/>
          </w:tcPr>
          <w:p>
            <w:r/>
            <w:r>
              <w:rPr>
                <w:rFonts w:ascii="Calibri" w:hAnsi="Calibri"/>
                <w:b/>
                <w:i w:val="0"/>
                <w:color w:val="FFFFFF"/>
                <w:sz w:val="18"/>
              </w:rPr>
              <w:t>Activity</w:t>
            </w:r>
          </w:p>
        </w:tc>
      </w:tr>
      <w:tr>
        <w:tc>
          <w:tcPr>
            <w:tcW w:type="dxa" w:w="31680"/>
          </w:tcPr>
          <w:p>
            <w:r/>
            <w:r>
              <w:rPr>
                <w:rFonts w:ascii="Calibri" w:hAnsi="Calibri"/>
                <w:b w:val="0"/>
                <w:i w:val="0"/>
                <w:color w:val="1B2A32"/>
                <w:sz w:val="18"/>
              </w:rPr>
              <w:t>Monthly</w:t>
            </w:r>
          </w:p>
        </w:tc>
        <w:tc>
          <w:tcPr>
            <w:tcW w:type="dxa" w:w="112320"/>
          </w:tcPr>
          <w:p>
            <w:r/>
            <w:r>
              <w:rPr>
                <w:rFonts w:ascii="Calibri" w:hAnsi="Calibri"/>
                <w:b w:val="0"/>
                <w:i w:val="0"/>
                <w:color w:val="1B2A32"/>
                <w:sz w:val="18"/>
              </w:rPr>
              <w:t>File audit; call/session sampling; complaints review</w:t>
            </w:r>
          </w:p>
        </w:tc>
      </w:tr>
      <w:tr>
        <w:tc>
          <w:tcPr>
            <w:tcW w:type="dxa" w:w="31680"/>
            <w:shd w:val="clear" w:fill="F3F7F9"/>
          </w:tcPr>
          <w:p>
            <w:r/>
            <w:r>
              <w:rPr>
                <w:rFonts w:ascii="Calibri" w:hAnsi="Calibri"/>
                <w:b w:val="0"/>
                <w:i w:val="0"/>
                <w:color w:val="1B2A32"/>
                <w:sz w:val="18"/>
              </w:rPr>
              <w:t>Quarterly</w:t>
            </w:r>
          </w:p>
        </w:tc>
        <w:tc>
          <w:tcPr>
            <w:tcW w:type="dxa" w:w="112320"/>
            <w:shd w:val="clear" w:fill="F3F7F9"/>
          </w:tcPr>
          <w:p>
            <w:r/>
            <w:r>
              <w:rPr>
                <w:rFonts w:ascii="Calibri" w:hAnsi="Calibri"/>
                <w:b w:val="0"/>
                <w:i w:val="0"/>
                <w:color w:val="1B2A32"/>
                <w:sz w:val="18"/>
              </w:rPr>
              <w:t>Neutral scorecards; calibration; outcome publication; concentration report</w:t>
            </w:r>
          </w:p>
        </w:tc>
      </w:tr>
      <w:tr>
        <w:tc>
          <w:tcPr>
            <w:tcW w:type="dxa" w:w="31680"/>
          </w:tcPr>
          <w:p>
            <w:r/>
            <w:r>
              <w:rPr>
                <w:rFonts w:ascii="Calibri" w:hAnsi="Calibri"/>
                <w:b w:val="0"/>
                <w:i w:val="0"/>
                <w:color w:val="1B2A32"/>
                <w:sz w:val="18"/>
              </w:rPr>
              <w:t>Twice a year</w:t>
            </w:r>
          </w:p>
        </w:tc>
        <w:tc>
          <w:tcPr>
            <w:tcW w:type="dxa" w:w="112320"/>
          </w:tcPr>
          <w:p>
            <w:r/>
            <w:r>
              <w:rPr>
                <w:rFonts w:ascii="Calibri" w:hAnsi="Calibri"/>
                <w:b w:val="0"/>
                <w:i w:val="0"/>
                <w:color w:val="1B2A32"/>
                <w:sz w:val="18"/>
              </w:rPr>
              <w:t>Cross-vertical calibration; mystery shopping</w:t>
            </w:r>
          </w:p>
        </w:tc>
      </w:tr>
      <w:tr>
        <w:tc>
          <w:tcPr>
            <w:tcW w:type="dxa" w:w="31680"/>
            <w:shd w:val="clear" w:fill="F3F7F9"/>
          </w:tcPr>
          <w:p>
            <w:r/>
            <w:r>
              <w:rPr>
                <w:rFonts w:ascii="Calibri" w:hAnsi="Calibri"/>
                <w:b w:val="0"/>
                <w:i w:val="0"/>
                <w:color w:val="1B2A32"/>
                <w:sz w:val="18"/>
              </w:rPr>
              <w:t>Annually</w:t>
            </w:r>
          </w:p>
        </w:tc>
        <w:tc>
          <w:tcPr>
            <w:tcW w:type="dxa" w:w="112320"/>
            <w:shd w:val="clear" w:fill="F3F7F9"/>
          </w:tcPr>
          <w:p>
            <w:r/>
            <w:r>
              <w:rPr>
                <w:rFonts w:ascii="Calibri" w:hAnsi="Calibri"/>
                <w:b w:val="0"/>
                <w:i w:val="0"/>
                <w:color w:val="1B2A32"/>
                <w:sz w:val="18"/>
              </w:rPr>
              <w:t>Full programme review; independent process assurance</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FF5646-4363-415D-8506-9B4807A48547}"/>
</file>

<file path=customXml/itemProps3.xml><?xml version="1.0" encoding="utf-8"?>
<ds:datastoreItem xmlns:ds="http://schemas.openxmlformats.org/officeDocument/2006/customXml" ds:itemID="{96D65C85-F399-4483-AE68-4D3EDAC9381B}"/>
</file>

<file path=customXml/itemProps4.xml><?xml version="1.0" encoding="utf-8"?>
<ds:datastoreItem xmlns:ds="http://schemas.openxmlformats.org/officeDocument/2006/customXml" ds:itemID="{B68E802D-1BBA-4573-AAF4-B81DBA640EB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