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Arbitration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Multi-Vertical Case Routing Specification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One front door; a dispute that spans two verticals is handled as one matter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Platform — institution-wide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The problem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Real disputes do not respect vertical boundaries. A marriage breakdown often carries a joint loan; a workplace exit can involve a group-health claim; a commercial collapse can pull in a personal guarantee and an insurance dispute. If the platform treats these as five separate front doors, a party tells their story five times and no one sees the whole. This specification makes the platform behave as </w:t>
      </w:r>
      <w:r>
        <w:rPr>
          <w:rFonts w:ascii="Calibri" w:hAnsi="Calibri"/>
          <w:b/>
          <w:i w:val="0"/>
          <w:color w:val="1B2A32"/>
          <w:sz w:val="21"/>
        </w:rPr>
        <w:t>one institution with one intake</w:t>
      </w:r>
      <w:r>
        <w:rPr>
          <w:rFonts w:ascii="Calibri" w:hAnsi="Calibri"/>
          <w:b w:val="0"/>
          <w:i w:val="0"/>
          <w:color w:val="1B2A32"/>
          <w:sz w:val="21"/>
        </w:rPr>
        <w:t xml:space="preserve"> that routes internally.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THE DESIGN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One unified intake and one AI Dispute Explorer classify the matter, then route to the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primary vertical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and open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linked sub-matters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in the others — sharing the party record, the consent, the clocks and the escrow, but keeping each vertical's rule-bearing extension and each sensitive sub-store separate.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The common cross-vertical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432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Pattern</w:t>
            </w:r>
          </w:p>
        </w:tc>
        <w:tc>
          <w:tcPr>
            <w:tcW w:type="dxa" w:w="345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Verticals engaged</w:t>
            </w:r>
          </w:p>
        </w:tc>
        <w:tc>
          <w:tcPr>
            <w:tcW w:type="dxa" w:w="662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it is handled</w:t>
            </w:r>
          </w:p>
        </w:tc>
      </w:tr>
      <w:tr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Divorce + joint home loan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Family (primary) + Financial</w:t>
            </w:r>
          </w:p>
        </w:tc>
        <w:tc>
          <w:tcPr>
            <w:tcW w:type="dxa" w:w="662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Family mediates the split; a linked Financial sub-matter handles the loan restructure / one-time settlement so the settlement is coherent</w:t>
            </w:r>
          </w:p>
        </w:tc>
      </w:tr>
      <w:tr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Employment exit + group-health claim</w:t>
            </w:r>
          </w:p>
        </w:tc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Workplace (primary) + Insurance</w:t>
            </w:r>
          </w:p>
        </w:tc>
        <w:tc>
          <w:tcPr>
            <w:tcW w:type="dxa" w:w="662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Workplace resolves the F&amp;F; a linked Insurance sub-matter pursues the group-health claim</w:t>
            </w:r>
          </w:p>
        </w:tc>
      </w:tr>
      <w:tr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Business collapse + personal guarantee + insurance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Commercial + Financial + Insurance</w:t>
            </w:r>
          </w:p>
        </w:tc>
        <w:tc>
          <w:tcPr>
            <w:tcW w:type="dxa" w:w="662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Commercial leads; linked sub-matters for the guarantee and any policy claim</w:t>
            </w:r>
          </w:p>
        </w:tc>
      </w:tr>
      <w:tr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Death of a spouse + life-insurance nomination dispute</w:t>
            </w:r>
          </w:p>
        </w:tc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Family + Insurance</w:t>
            </w:r>
          </w:p>
        </w:tc>
        <w:tc>
          <w:tcPr>
            <w:tcW w:type="dxa" w:w="662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Family mediates the family split; Insurance handles the insurer/interpleader into escrow</w:t>
            </w:r>
          </w:p>
        </w:tc>
      </w:tr>
      <w:tr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POSH exit + defamation / settlement</w:t>
            </w:r>
          </w:p>
        </w:tc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Workplace (POSH sealed) + Commercial/other</w:t>
            </w:r>
          </w:p>
        </w:tc>
        <w:tc>
          <w:tcPr>
            <w:tcW w:type="dxa" w:w="662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POSH stays sealed and separate; only the non-POSH civil settlement is linked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The routing rules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Classify the whole matter first.</w:t>
      </w:r>
      <w:r>
        <w:rPr>
          <w:rFonts w:ascii="Calibri" w:hAnsi="Calibri"/>
          <w:b w:val="0"/>
          <w:i w:val="0"/>
          <w:color w:val="1B2A32"/>
          <w:sz w:val="21"/>
        </w:rPr>
        <w:t xml:space="preserve"> The unified explorer asks what happened, not which product; it may return more than one vertical.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Pick the primary vertical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the one whose forum and timeline dominate, or the one the party leads with.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Open linked sub-matters</w:t>
      </w:r>
      <w:r>
        <w:rPr>
          <w:rFonts w:ascii="Calibri" w:hAnsi="Calibri"/>
          <w:b w:val="0"/>
          <w:i w:val="0"/>
          <w:color w:val="1B2A32"/>
          <w:sz w:val="21"/>
        </w:rPr>
        <w:t xml:space="preserve"> in the other verticals, sharing the party record, consent and escrow, each under its own rules.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Respect the special forums and seals.</w:t>
      </w:r>
      <w:r>
        <w:rPr>
          <w:rFonts w:ascii="Calibri" w:hAnsi="Calibri"/>
          <w:b w:val="0"/>
          <w:i w:val="0"/>
          <w:color w:val="1B2A32"/>
          <w:sz w:val="21"/>
        </w:rPr>
        <w:t xml:space="preserve"> A third-party motor claim still goes to MACT; a POSH complaint stays sealed and is never merged into a civil settlement; a government-scheme grievance runs its own ladder.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Keep one clock table</w:t>
      </w:r>
      <w:r>
        <w:rPr>
          <w:rFonts w:ascii="Calibri" w:hAnsi="Calibri"/>
          <w:b w:val="0"/>
          <w:i w:val="0"/>
          <w:color w:val="1B2A32"/>
          <w:sz w:val="21"/>
        </w:rPr>
        <w:t xml:space="preserve"> across the linked matters so no deadline in any vertical is missed.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One settlement narrative where lawful.</w:t>
      </w:r>
      <w:r>
        <w:rPr>
          <w:rFonts w:ascii="Calibri" w:hAnsi="Calibri"/>
          <w:b w:val="0"/>
          <w:i w:val="0"/>
          <w:color w:val="1B2A32"/>
          <w:sz w:val="21"/>
        </w:rPr>
        <w:t xml:space="preserve"> Where the outcomes are interdependent (the divorce and the loan), sequence them so neither is signed without the other; where they must stay separate (POSH), keep them separate.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THE HARD LIMITS CARRY ACROSS LINKS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Linking does not dilute any vertical's rule. A retail insurance sub-matter still cannot be arbitrated; a safety-flagged family matter still has no joint session; a POSH matter is never folded into a money settlement; a statutory entitlement in any linked matter is never waived. The links share data and timing — never a relaxation of a control.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Data &amp; consent across links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One party record, one consent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captured once, scoped to all linked matters, with sensitive categories (health, POSH) flagged per matter.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Sub-stores stay separate.</w:t>
      </w:r>
      <w:r>
        <w:rPr>
          <w:rFonts w:ascii="Calibri" w:hAnsi="Calibri"/>
          <w:b w:val="0"/>
          <w:i w:val="0"/>
          <w:color w:val="1B2A32"/>
          <w:sz w:val="21"/>
        </w:rPr>
        <w:t xml:space="preserve"> A linked Insurance matter's health data and a Workplace matter's POSH data never meet, even for the same person.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One audit chain</w:t>
      </w:r>
      <w:r>
        <w:rPr>
          <w:rFonts w:ascii="Calibri" w:hAnsi="Calibri"/>
          <w:b w:val="0"/>
          <w:i w:val="0"/>
          <w:color w:val="1B2A32"/>
          <w:sz w:val="21"/>
        </w:rPr>
        <w:t xml:space="preserve"> records the linking and every cross-matter action.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Withdrawal</w:t>
      </w:r>
      <w:r>
        <w:rPr>
          <w:rFonts w:ascii="Calibri" w:hAnsi="Calibri"/>
          <w:b w:val="0"/>
          <w:i w:val="0"/>
          <w:color w:val="1B2A32"/>
          <w:sz w:val="21"/>
        </w:rPr>
        <w:t xml:space="preserve"> from one linked matter does not cascade unless the party chooses — each remedy is preserved independently.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What this needs from the build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shared core already supports it: `core.cases` carries the vertical; a lightweight `case_link` table (parent, child, relationship) joins matters; the shared clock, escrow, consent and audit services span the link; the sensitive sub-stores remain unreachable across it. The unified explorer gains a multi-classification step; nothing in any vertical extension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70FFA4-A495-493A-9735-9ADDCAEB6C1B}"/>
</file>

<file path=customXml/itemProps3.xml><?xml version="1.0" encoding="utf-8"?>
<ds:datastoreItem xmlns:ds="http://schemas.openxmlformats.org/officeDocument/2006/customXml" ds:itemID="{72AE2234-501D-4DE3-A602-D458C6298BB5}"/>
</file>

<file path=customXml/itemProps4.xml><?xml version="1.0" encoding="utf-8"?>
<ds:datastoreItem xmlns:ds="http://schemas.openxmlformats.org/officeDocument/2006/customXml" ds:itemID="{DB4B35C2-F837-4DBA-B83D-813A51CCEF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