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Platform-wide reference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Glossary &amp; Statutory Citation Index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One authoritative reference for terminology and citations across all four verticals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Applies across all four verticals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Why this exists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Four verticals written over time drift — the same statute gets cited three ways, the same concept acquires two names, and a reader cannot tell whether a difference is deliberate. This index fixes the </w:t>
      </w:r>
      <w:r>
        <w:rPr>
          <w:rFonts w:ascii="Calibri" w:hAnsi="Calibri"/>
          <w:b/>
          <w:i w:val="0"/>
          <w:color w:val="1B2A32"/>
          <w:sz w:val="21"/>
        </w:rPr>
        <w:t>house form</w:t>
      </w:r>
      <w:r>
        <w:rPr>
          <w:rFonts w:ascii="Calibri" w:hAnsi="Calibri"/>
          <w:b w:val="0"/>
          <w:i w:val="0"/>
          <w:color w:val="1B2A32"/>
          <w:sz w:val="21"/>
        </w:rPr>
        <w:t xml:space="preserve"> of every citation and the </w:t>
      </w:r>
      <w:r>
        <w:rPr>
          <w:rFonts w:ascii="Calibri" w:hAnsi="Calibri"/>
          <w:b/>
          <w:i w:val="0"/>
          <w:color w:val="1B2A32"/>
          <w:sz w:val="21"/>
        </w:rPr>
        <w:t>preferred term</w:t>
      </w:r>
      <w:r>
        <w:rPr>
          <w:rFonts w:ascii="Calibri" w:hAnsi="Calibri"/>
          <w:b w:val="0"/>
          <w:i w:val="0"/>
          <w:color w:val="1B2A32"/>
          <w:sz w:val="21"/>
        </w:rPr>
        <w:t xml:space="preserve"> for every concept. Where a document departs from it, that is now a drafting error rather than a matter of taste.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How to use it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Before publishing or amending any document, check any statute or defined term against this index. When the law changes, change it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here first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, then propagate — and record the change in the version log at the end.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Part 1 — Statutory citation index (house form)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Cross-cutting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31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House form (use exactly this)</w:t>
            </w:r>
          </w:p>
        </w:tc>
        <w:tc>
          <w:tcPr>
            <w:tcW w:type="dxa" w:w="201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Short form after first use</w:t>
            </w:r>
          </w:p>
        </w:tc>
        <w:tc>
          <w:tcPr>
            <w:tcW w:type="dxa" w:w="417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Key provisions we rely 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Mediation Act, 2023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Mediation Act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s.20 registration · s.22 confidentiality · s.27 enforceable as a decree · First Schedule exclusions</w:t>
            </w:r>
          </w:p>
        </w:tc>
      </w:tr>
      <w:tr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Digital Personal Data Protection Act, 2023</w:t>
            </w:r>
          </w:p>
        </w:tc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DPDP Act</w:t>
            </w:r>
          </w:p>
        </w:tc>
        <w:tc>
          <w:tcPr>
            <w:tcW w:type="dxa" w:w="41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Consent · purpose limitation · minimisation · breach duties · retention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Information Technology Act, 2000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IT Act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s.3A electronic signatures (Aadhaar e-Sign)</w:t>
            </w:r>
          </w:p>
        </w:tc>
      </w:tr>
      <w:tr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Legal Services Authorities Act, 1987</w:t>
            </w:r>
          </w:p>
        </w:tc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LSA Act</w:t>
            </w:r>
          </w:p>
        </w:tc>
        <w:tc>
          <w:tcPr>
            <w:tcW w:type="dxa" w:w="41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Lok Adalat award as a civil-court decree · DLSA legal aid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section 89 of the Code of Civil Procedure, 1908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s.89 CPC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Court referral to ADR</w:t>
            </w:r>
          </w:p>
        </w:tc>
      </w:tr>
      <w:tr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Indian Contract Act, 1872</w:t>
            </w:r>
          </w:p>
        </w:tc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Contract Act</w:t>
            </w:r>
          </w:p>
        </w:tc>
        <w:tc>
          <w:tcPr>
            <w:tcW w:type="dxa" w:w="41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s.27 restraint of trade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Family &amp; Marital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House form</w:t>
            </w:r>
          </w:p>
        </w:tc>
        <w:tc>
          <w:tcPr>
            <w:tcW w:type="dxa" w:w="172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Short form</w:t>
            </w:r>
          </w:p>
        </w:tc>
        <w:tc>
          <w:tcPr>
            <w:tcW w:type="dxa" w:w="403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Key provisions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Hindu Marriage Act, 1955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HMA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s.13B mutual consent · ss.24–25 maintenance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Special Marriage Act, 1954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SMA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s.28 mutual consent · ss.36–37 maintenance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Dissolution of Muslim Marriages Act, 1939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—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Grounds available to the wife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Indian Divorce Act, 1869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—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s.10A mutual consent (Christian)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Parsi Marriage and Divorce Act, 1936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—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Parsi Chief Matrimonial Court and delegates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Family Courts Act, 1984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Family Courts Act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Jurisdiction · referral to mediation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Protection of Women from Domestic Violence Act, 2005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PWDVA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Protection · residence · monetary relief · Protection Officers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Guardians and Wards Act, 1890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—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Guardianship and custody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Bharatiya Nyaya Sanhita, 2023 / the Bharatiya Nagarik Suraksha Sanhita, 2023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BNS / the BNSS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Criminal overlay · maintenance (BNSS s.144) · compounding and quashing are for the court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Commercial &amp; Business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House form</w:t>
            </w:r>
          </w:p>
        </w:tc>
        <w:tc>
          <w:tcPr>
            <w:tcW w:type="dxa" w:w="172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Short form</w:t>
            </w:r>
          </w:p>
        </w:tc>
        <w:tc>
          <w:tcPr>
            <w:tcW w:type="dxa" w:w="403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Key provisions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Arbitration and Conciliation Act, 1996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A&amp;C Act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s.11 appointment · s.12 &amp; Fifth/Seventh Schedules · s.16 kompetenz-kompetenz · s.17 interim · s.29A timeline · s.31 award · s.34 challenge · s.36 enforcement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Commercial Courts Act, 2015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Commercial Courts Act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s.12A mandatory pre-institution mediation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Micro, Small and Medium Enterprises Development Act, 2006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MSMED Act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s.18 Samadhaan conciliation then arbitration · statutory interest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Companies Act, 2013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—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ss.241–242 oppression and mismanagement (NCLT — non-arbitrable)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New York Convention, 1958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—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Enforcement of foreign awards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Singapore Convention on Mediation, 2019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—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Cross-border mediated settlements —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India's ratification position to be verified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Financial &amp; Loan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403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House form</w:t>
            </w:r>
          </w:p>
        </w:tc>
        <w:tc>
          <w:tcPr>
            <w:tcW w:type="dxa" w:w="187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Short form</w:t>
            </w:r>
          </w:p>
        </w:tc>
        <w:tc>
          <w:tcPr>
            <w:tcW w:type="dxa" w:w="3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Key provisions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Reserve Bank of India (Integrated Ombudsman) Scheme, 2021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RBI Ombudsman Scheme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One redress window · 30-day escalation from the regulated entity</w:t>
            </w:r>
          </w:p>
        </w:tc>
      </w:tr>
      <w:tr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Reserve Bank of India (Digital Lending) Directions, 2025</w:t>
            </w:r>
          </w:p>
        </w:tc>
        <w:tc>
          <w:tcPr>
            <w:tcW w:type="dxa" w:w="18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Digital Lending Directions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Dated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8 May 2025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 · KFS and APR · cooling-off (1 day under 7-day loans; 3 days longer) · direct disbursal · DLG/FLDG capped at 5%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Negotiable Instruments Act, 1881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NI Act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s.138 dishonour · s.147 compounding · s.143A interim compensation (up to 20%) · s.148 appeal deposit (minimum 20%)</w:t>
            </w:r>
          </w:p>
        </w:tc>
      </w:tr>
      <w:tr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RBI Framework for Compromise Settlements and Technical Write-offs</w:t>
            </w:r>
          </w:p>
        </w:tc>
        <w:tc>
          <w:tcPr>
            <w:tcW w:type="dxa" w:w="18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RBI compromise-settlement framework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Circular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RBI/2023-24/40, 8 June 2023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 · board-approved policy · 12-month cooling floor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Securitisation and Reconstruction of Financial Assets and Enforcement of Security Interest Act, 2002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SARFAESI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Secured enforcement — non-mediable</w:t>
            </w:r>
          </w:p>
        </w:tc>
      </w:tr>
      <w:tr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Recovery of Debts and Bankruptcy Act, 1993</w:t>
            </w:r>
          </w:p>
        </w:tc>
        <w:tc>
          <w:tcPr>
            <w:tcW w:type="dxa" w:w="18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RDDBFI Act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Debts Recovery Tribunal — non-mediable adjudication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Credit Information Companies (Regulation) Act, 2005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CIC Act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Credit-bureau reporting and correction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Workplace &amp;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403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House form</w:t>
            </w:r>
          </w:p>
        </w:tc>
        <w:tc>
          <w:tcPr>
            <w:tcW w:type="dxa" w:w="187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Short form</w:t>
            </w:r>
          </w:p>
        </w:tc>
        <w:tc>
          <w:tcPr>
            <w:tcW w:type="dxa" w:w="3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Key provisions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Sexual Harassment of Women at Workplace (Prevention, Prohibition and Redressal) Act, 2013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POSH Act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s.4 Internal Committee incl. external member · s.10 conciliation (her request only; no monetary basis) · 90-day inquiry · 10-day report · 60-day employer action · 90-day appeal · s.16 confidentiality</w:t>
            </w:r>
          </w:p>
        </w:tc>
      </w:tr>
      <w:tr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Code on Wages, 2019</w:t>
            </w:r>
          </w:p>
        </w:tc>
        <w:tc>
          <w:tcPr>
            <w:tcW w:type="dxa" w:w="18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Code on Wages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Definition of wages (basic + DA + retaining allowance) · the 50%-of-remuneration rule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Industrial Relations Code, 2020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IR Code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Grievance Redressal Committee · conciliation · Industrial Tribunal · retrenchment compensation (15 days' average pay per completed year) · standing orders</w:t>
            </w:r>
          </w:p>
        </w:tc>
      </w:tr>
      <w:tr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Code on Social Security, 2020</w:t>
            </w:r>
          </w:p>
        </w:tc>
        <w:tc>
          <w:tcPr>
            <w:tcW w:type="dxa" w:w="18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Social Security Code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Gratuity · provident fund · ESI · maternity benefit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Occupational Safety, Health and Working Conditions Code, 2020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OSH Code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Working conditions · contract labour · appointment letters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Status line to use for the Labour Codes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"the four Labour Codes, in force from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21 November 2025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(Central Rules notified 2026; State rules being notified progressively — confirm the position in the relevant State)". Do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not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cite the Industrial Disputes Act, 1947, the Payment of Gratuity Act, 1972, the EPF Act, 1952 or the Maternity Benefit Act, 1961 as live authority — they are subsumed.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Part 2 — Glossary (preferred terms)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1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Preferred term</w:t>
            </w:r>
          </w:p>
        </w:tc>
        <w:tc>
          <w:tcPr>
            <w:tcW w:type="dxa" w:w="475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Means</w:t>
            </w:r>
          </w:p>
        </w:tc>
        <w:tc>
          <w:tcPr>
            <w:tcW w:type="dxa" w:w="259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Do not 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neutral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 mediator, conciliator or arbitrator appointed under our Rules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'the mediator' generically where arbitration is possible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party</w:t>
            </w:r>
          </w:p>
        </w:tc>
        <w:tc>
          <w:tcPr>
            <w:tcW w:type="dxa" w:w="47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 person or entity referred to a process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'client' — we act for neither side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MSA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Mediated settlement agreement under the Mediation Act, 2023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'settlement deed' where the Act applies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caucus</w:t>
            </w:r>
          </w:p>
        </w:tc>
        <w:tc>
          <w:tcPr>
            <w:tcW w:type="dxa" w:w="47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 private session between the neutral and one party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'private meeting' (ambiguous)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screening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confidential safety and suitability assessment, conducted separately with each party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'intake interview' — it is not the same thing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safety flag</w:t>
            </w:r>
          </w:p>
        </w:tc>
        <w:tc>
          <w:tcPr>
            <w:tcW w:type="dxa" w:w="47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recorded outcome that blocks joint sessions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'red flag' (informal)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shuttle mediation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Process where parties never meet and the neutral moves between them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'indirect mediation'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case manager</w:t>
            </w:r>
          </w:p>
        </w:tc>
        <w:tc>
          <w:tcPr>
            <w:tcW w:type="dxa" w:w="47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Equator officer administering a matter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'coordinator'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Registrar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officer maintaining the register of cases and settlements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—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panel</w:t>
            </w:r>
          </w:p>
        </w:tc>
        <w:tc>
          <w:tcPr>
            <w:tcW w:type="dxa" w:w="47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Our roster of certified neutrals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'list of mediators'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escrow agent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regulated bank holding settlement funds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'our escrow account' — we do not hold party funds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OTS</w:t>
            </w:r>
          </w:p>
        </w:tc>
        <w:tc>
          <w:tcPr>
            <w:tcW w:type="dxa" w:w="47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One-time (compromise) settlement of a debt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'loan waiver' — it is not a waiver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F&amp;F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Full-and-final settlement on separation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'final settlement' (ambiguous)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IC</w:t>
            </w:r>
          </w:p>
        </w:tc>
        <w:tc>
          <w:tcPr>
            <w:tcW w:type="dxa" w:w="47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Internal Committee under s.4 of the POSH Act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'POSH committee', 'ICC' (outdated)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external member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independent IC member required by s.4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'third-party member'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GRC</w:t>
            </w:r>
          </w:p>
        </w:tc>
        <w:tc>
          <w:tcPr>
            <w:tcW w:type="dxa" w:w="47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Grievance Redressal Committee under the IR Code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'grievance cell'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statutory dues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Gratuity, provident fund, ESI and similar entitlements — paid, never waived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'benefits' (too loose)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signpost</w:t>
            </w:r>
          </w:p>
        </w:tc>
        <w:tc>
          <w:tcPr>
            <w:tcW w:type="dxa" w:w="47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To direct a party to the correct forum without taking the matter on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'refer' — implies we retain 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not-advice line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standard disclaimer that we provide information, not legal advice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'disclaimer' (unspecific)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Part 3 — Phrases we always use, and never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Always</w:t>
            </w:r>
          </w:p>
        </w:tc>
        <w:tc>
          <w:tcPr>
            <w:tcW w:type="dxa" w:w="28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Never</w:t>
            </w:r>
          </w:p>
        </w:tc>
        <w:tc>
          <w:tcPr>
            <w:tcW w:type="dxa" w:w="316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"enforceable as a judgment or decree of court (s.27)"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"legally binding like a court order"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Precision matters for enforceability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"information, not legal advice"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"we advise that…"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We are not a law firm and do not advise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"a neutral institution; we act for neither party"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"we represent you"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Neutrality is the product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"statutory dues are paid, not waived"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"full and final including all claims" (unqualified)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An unqualified release may purport to waive statutory dues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"a POSH complaint belongs to the Internal Committee"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"we can mediate a harassment complaint"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Legally wrong and unsafe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"conciliation under s.10, at the aggrieved woman's request, with no monetary basis"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"POSH settlement"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Misstates the statutory limit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"SARFAESI enforcement is not mediable; we can mediate a settlement around it"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"we can stop the bank's action"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We cannot, and must not imply it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"indicative only; confirm with the lender/employer"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"you are entitled to ₹X"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Calculators are aids, not entitlements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"if you are in immediate danger, contact the police"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(omitting it)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Required wherever safety may be in issue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Part 4 — Maintenance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Owner:</w:t>
      </w:r>
      <w:r>
        <w:rPr>
          <w:rFonts w:ascii="Calibri" w:hAnsi="Calibri"/>
          <w:b w:val="0"/>
          <w:i w:val="0"/>
          <w:color w:val="1B2A32"/>
          <w:sz w:val="21"/>
        </w:rPr>
        <w:t xml:space="preserve"> General Counsel, with the Head of Mediation for terminology.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Review:</w:t>
      </w:r>
      <w:r>
        <w:rPr>
          <w:rFonts w:ascii="Calibri" w:hAnsi="Calibri"/>
          <w:b w:val="0"/>
          <w:i w:val="0"/>
          <w:color w:val="1B2A32"/>
          <w:sz w:val="21"/>
        </w:rPr>
        <w:t xml:space="preserve"> quarterly, and immediately on any statutory change or notification.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Change process:</w:t>
      </w:r>
      <w:r>
        <w:rPr>
          <w:rFonts w:ascii="Calibri" w:hAnsi="Calibri"/>
          <w:b w:val="0"/>
          <w:i w:val="0"/>
          <w:color w:val="1B2A32"/>
          <w:sz w:val="21"/>
        </w:rPr>
        <w:t xml:space="preserve"> amend this index first; then propagate to affected documents; then record below.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Conflict rule:</w:t>
      </w:r>
      <w:r>
        <w:rPr>
          <w:rFonts w:ascii="Calibri" w:hAnsi="Calibri"/>
          <w:b w:val="0"/>
          <w:i w:val="0"/>
          <w:color w:val="1B2A32"/>
          <w:sz w:val="21"/>
        </w:rPr>
        <w:t xml:space="preserve"> where a document differs from this index, this index governs and the document is corrected.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14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72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489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Change</w:t>
            </w:r>
          </w:p>
        </w:tc>
        <w:tc>
          <w:tcPr>
            <w:tcW w:type="dxa" w:w="14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July 2026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First consolidated index across all four verticals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fill="F3F7F9"/>
          </w:tcPr>
          <w:p>
            <w:r/>
          </w:p>
        </w:tc>
        <w:tc>
          <w:tcPr>
            <w:tcW w:type="dxa" w:w="1728"/>
            <w:shd w:val="clear" w:fill="F3F7F9"/>
          </w:tcPr>
          <w:p>
            <w:r/>
          </w:p>
        </w:tc>
        <w:tc>
          <w:tcPr>
            <w:tcW w:type="dxa" w:w="4896"/>
            <w:shd w:val="clear" w:fill="F3F7F9"/>
          </w:tcPr>
          <w:p>
            <w:r/>
          </w:p>
        </w:tc>
        <w:tc>
          <w:tcPr>
            <w:tcW w:type="dxa" w:w="1440"/>
            <w:shd w:val="clear" w:fill="F3F7F9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4896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spacing w:after="40"/>
      </w:pPr>
    </w:p>
    <w:p>
      <w:pPr>
        <w:spacing w:after="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This index is a working reference, not legal advice. Every citation must be confirmed by counsel as at the go-live date, and the Labour Code State-rule position checked for each State of operation.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EC1A53-D9F9-48E0-9C45-F7A0FF048E9B}"/>
</file>

<file path=customXml/itemProps3.xml><?xml version="1.0" encoding="utf-8"?>
<ds:datastoreItem xmlns:ds="http://schemas.openxmlformats.org/officeDocument/2006/customXml" ds:itemID="{53860D0E-D30E-48B9-BFB2-34A6E873A77F}"/>
</file>

<file path=customXml/itemProps4.xml><?xml version="1.0" encoding="utf-8"?>
<ds:datastoreItem xmlns:ds="http://schemas.openxmlformats.org/officeDocument/2006/customXml" ds:itemID="{BDB6804C-114F-49D1-BE53-D0AF9118DD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