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Family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Entity, Regulatory &amp; Insurance Setup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path to operating lawfully as a mediation institution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Decisions for you, scaffolding from us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This pack sets out the choices, the sequence and the evidence to assemble. The decisions — entity form, capital, insurers, timing — are yours, and each step needs professional advice from counsel, a company secretary and an insurance broker.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Entity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Option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Fits when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Considerations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Private limited company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Commercial scale, investment, multiple verticals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Companies Act compliance; investor-ready; profit motive visible to courts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Section 8 company (not-for-profit)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Access-to-justice positioning; grants; court confidence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 profit distribution; slower; strong credibility with judiciary and DLSAs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Society / Trust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Community or philanthropic model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Simpler; weaker for investment and scale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Hybrid — company + Section 8 arm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Commercial verticals fund subsidised family work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Two entities; clear inter-entity agreements; most credible for family work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Recommendation to consider:</w:t>
      </w:r>
      <w:r>
        <w:rPr>
          <w:rFonts w:ascii="Calibri" w:hAnsi="Calibri"/>
          <w:b w:val="0"/>
          <w:i w:val="0"/>
          <w:color w:val="1B2A32"/>
          <w:sz w:val="21"/>
        </w:rPr>
        <w:t xml:space="preserve"> a hybrid, with the family vertical (and its concessions and pro-bono places) housed in, or funded through, a not-for-profit arm. Family courts and legal-services authorities are more comfortable referring to an institution that is visibly not extracting profit from vulnerable parties. Take advice.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Mediation Service Provider recognition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Mediation Act, 2023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provides for the </w:t>
      </w:r>
      <w:r>
        <w:rPr>
          <w:rFonts w:ascii="Calibri" w:hAnsi="Calibri"/>
          <w:b/>
          <w:i w:val="0"/>
          <w:color w:val="1B2A32"/>
          <w:sz w:val="21"/>
        </w:rPr>
        <w:t>Mediation Council of India (MCI)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recognise mediation service providers and to grade mediators and institutions. The Council's regulations are being operationalised — confirm the current position before applying.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86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60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to hold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Track the Council's constitution and its regulations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Watching brief; counsel updates</w:t>
            </w:r>
          </w:p>
        </w:tc>
      </w:tr>
      <w:tr>
        <w:tc>
          <w:tcPr>
            <w:tcW w:type="dxa" w:w="8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Align the Rules, Bye-laws and Code of Conduct to the notified standards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Board-approved documents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Build the panel and training record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ECFM certificates; CPD logs; panel register</w:t>
            </w:r>
          </w:p>
        </w:tc>
      </w:tr>
      <w:tr>
        <w:tc>
          <w:tcPr>
            <w:tcW w:type="dxa" w:w="8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Assemble the case-management, confidentiality and data evidence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Platform documentation; DPIA; security testing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Prepare and file the recognition application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Application pack; constitutional documents; audited accounts</w:t>
            </w:r>
          </w:p>
        </w:tc>
      </w:tr>
      <w:tr>
        <w:tc>
          <w:tcPr>
            <w:tcW w:type="dxa" w:w="86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Maintain and report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Periodic returns; anonymised outcome data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Other registrations &amp; protections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Trademark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file the word mark </w:t>
      </w:r>
      <w:r>
        <w:rPr>
          <w:rFonts w:ascii="Calibri" w:hAnsi="Calibri"/>
          <w:b/>
          <w:i w:val="0"/>
          <w:color w:val="1B2A32"/>
          <w:sz w:val="21"/>
        </w:rPr>
        <w:t>EQUATOR RESOLUTION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the logo in the relevant classes (principally Class 45 for legal and mediation services, with Class 42 for the platform). Conduct a search first; consider a defensive filing for the vertical names.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Domain &amp; brand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secure principal domains and handles; document brand-use rules.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Copyright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Rules, forms, curriculum and templates are original works; record authorship and assignment from contractors.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GST and tax registration</w:t>
      </w:r>
      <w:r>
        <w:rPr>
          <w:rFonts w:ascii="Calibri" w:hAnsi="Calibri"/>
          <w:b w:val="0"/>
          <w:i w:val="0"/>
          <w:color w:val="1B2A32"/>
          <w:sz w:val="21"/>
        </w:rPr>
        <w:t>; professional-tax and shops-and-establishments registration as applicable.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DPDP readiness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appoint a Data Protection Officer; publish the notice; maintain the DPIA and consent records.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MSME/Startup registration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eligible, for procurement and scheme benefits.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Cover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it matters here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Points to negotiate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Professional indemnity (institution)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Claims arising from administration, drafting or process failure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Adequate limit; retroactive cover; defence costs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Professional indemnity (panel)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Mediators act independently; a gap leaves parties and the institution exposed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Either require each mediator to carry cover, or extend a group policy — decide and document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Cyber &amp; data liability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DPDP breach, notification costs, business interruption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Breach-response costs; regulatory defence; sub-limits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Directors &amp; officers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Governance exposure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Standard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Crime / fidelity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Escrow and payment handling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Employee dishonesty; third-party fraud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General liability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Premises and in-person sessions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Standard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A specific decision to make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Decide explicitly whether panel mediators must carry their own professional indemnity or are covered by a group policy, and write the answer into the Empanelment Bye-laws and the engagement terms. An unresolved gap here is a real exposure.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Sequence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Choose the entity form and incorporate; adopt constitutional documents.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Appoint the DPO; publish the legal pages; execute processor DPAs.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File trademarks; secure domains.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Place insurance before the first live matter.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Open the escrow arrangement with a regulated bank.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Build and certify the panel; adopt the Rules, Bye-laws and Tariff by Board resolution.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Run the court pilot under the MoU.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File for MCI recognition when the Council is constituted and the regulations are known.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64524B-6F81-4577-AE5B-18326FB1E643}"/>
</file>

<file path=customXml/itemProps3.xml><?xml version="1.0" encoding="utf-8"?>
<ds:datastoreItem xmlns:ds="http://schemas.openxmlformats.org/officeDocument/2006/customXml" ds:itemID="{D320F257-5A4B-457E-8032-4E0B0DF1C6F0}"/>
</file>

<file path=customXml/itemProps4.xml><?xml version="1.0" encoding="utf-8"?>
<ds:datastoreItem xmlns:ds="http://schemas.openxmlformats.org/officeDocument/2006/customXml" ds:itemID="{A2859E7F-6EEA-45C8-8B90-2DA6B69740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