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Family Mediation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Impact &amp; Research Framework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Measuring outcomes honestly, and the concept for an annual State of Family Mediation report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Family &amp; Marital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Why measure at all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An institution that asks courts and families to trust it should be able to show what actually happens to people who use it — including when it does not work. This framework sets out what to measure, how to measure it without harming participants, and how to publish it credibly.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The honesty test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The framework is designed so that a bad result is visible. If the only metrics we can produce are flattering, the framework is wrong.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Outcome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172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Domain</w:t>
            </w:r>
          </w:p>
        </w:tc>
        <w:tc>
          <w:tcPr>
            <w:tcW w:type="dxa" w:w="316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Indicator</w:t>
            </w:r>
          </w:p>
        </w:tc>
        <w:tc>
          <w:tcPr>
            <w:tcW w:type="dxa" w:w="273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How captured</w:t>
            </w:r>
          </w:p>
        </w:tc>
        <w:tc>
          <w:tcPr>
            <w:tcW w:type="dxa" w:w="244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Resolution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Settlement rate (full / partial / none)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Case records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Core effectiveness</w:t>
            </w:r>
          </w:p>
        </w:tc>
      </w:tr>
      <w:tr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Durability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Settlement holding at 6 and 12 months</w:t>
            </w:r>
          </w:p>
        </w:tc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Compliance tracker + follow-up</w:t>
            </w:r>
          </w:p>
        </w:tc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 settlement that collapses is not a success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Speed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Median days from commencement to outcome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Case records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Time is the cost families feel most</w:t>
            </w:r>
          </w:p>
        </w:tc>
      </w:tr>
      <w:tr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Cost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Cost per party vs litigation baseline</w:t>
            </w:r>
          </w:p>
        </w:tc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Finance + party survey</w:t>
            </w:r>
          </w:p>
        </w:tc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Access to justice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Safety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Screening completion; incidents; any party reporting pressure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Screening records + exit survey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Non-negotiable</w:t>
            </w:r>
          </w:p>
        </w:tc>
      </w:tr>
      <w:tr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Fairness (perceived)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Both parties' rating of fairness and being heard</w:t>
            </w:r>
          </w:p>
        </w:tc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Anonymous exit survey</w:t>
            </w:r>
          </w:p>
        </w:tc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Procedural justice predicts compliance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Child wellbeing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Parenting plan in place; conflict exposure; contact maintained at 6 months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Document audit + follow-up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outcome that matters most and is measured least</w:t>
            </w:r>
          </w:p>
        </w:tc>
      </w:tr>
      <w:tr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Access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Share of matters with concessions or legal aid; language and gender mix</w:t>
            </w:r>
          </w:p>
        </w:tc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Case records</w:t>
            </w:r>
          </w:p>
        </w:tc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Who actually gets served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Court impact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Court time saved; referral outcomes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Court data (with permission)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system-level argument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Method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Both parties, always.</w:t>
      </w:r>
      <w:r>
        <w:rPr>
          <w:rFonts w:ascii="Calibri" w:hAnsi="Calibri"/>
          <w:b w:val="0"/>
          <w:i w:val="0"/>
          <w:color w:val="1B2A32"/>
          <w:sz w:val="21"/>
        </w:rPr>
        <w:t xml:space="preserve"> Satisfaction measured from both sides; a process that pleases one party and crushes the other is a failure.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Follow-up at 6 and 12 months</w:t>
      </w:r>
      <w:r>
        <w:rPr>
          <w:rFonts w:ascii="Calibri" w:hAnsi="Calibri"/>
          <w:b w:val="0"/>
          <w:i w:val="0"/>
          <w:color w:val="1B2A32"/>
          <w:sz w:val="21"/>
        </w:rPr>
        <w:t xml:space="preserve"> by consented contact, with a safe-contact protocol for safety-flagged matters (and no contact where it would create risk).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Comparison group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matters resolved through the ordinary path at the same courts, drawn with the court's cooperation, to avoid claiming credit for selection effects.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Independent analysis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an academic or civil-society partner analyses and writes; we do not mark our own homework.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Anonymisation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no case identifiers; small-cell suppression; nothing published that could identify a family.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Ethics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informed consent for research use, separate from consent to mediate; withdrawal at any time without affecting service.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Do no harm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No research contact is made where it could expose a party to risk. The safeguarding lead has a veto over any follow-up. Research value never outweighs a participant's safety.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Publication — the annual report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Concept: “The State of Family Mediation in India”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an annual, independently reviewed report that combines Equator's anonymised outcome data with public data on family-court pendency, legal-aid provision and mediation practice. Its purpose is to build a genuine evidence base for family ADR in India, not to market the institution.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244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Section</w:t>
            </w:r>
          </w:p>
        </w:tc>
        <w:tc>
          <w:tcPr>
            <w:tcW w:type="dxa" w:w="70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1. The landscape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Family-court pendency, disposal times, legal-aid coverage, mediation infrastructure by State</w:t>
            </w:r>
          </w:p>
        </w:tc>
      </w:tr>
      <w:tr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2. What we saw</w:t>
            </w:r>
          </w:p>
        </w:tc>
        <w:tc>
          <w:tcPr>
            <w:tcW w:type="dxa" w:w="70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Anonymised Equator outcomes: settlement, durability, speed, cost, access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3. Safety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Screening findings (aggregated), what proportion of matters were unsuitable, and why</w:t>
            </w:r>
          </w:p>
        </w:tc>
      </w:tr>
      <w:tr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4. Children</w:t>
            </w:r>
          </w:p>
        </w:tc>
        <w:tc>
          <w:tcPr>
            <w:tcW w:type="dxa" w:w="70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Parenting plans, contact durability, child-inclusive practice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5. Access to justice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Who used the service, who did not, concessions and gaps</w:t>
            </w:r>
          </w:p>
        </w:tc>
      </w:tr>
      <w:tr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6. What did not work</w:t>
            </w:r>
          </w:p>
        </w:tc>
        <w:tc>
          <w:tcPr>
            <w:tcW w:type="dxa" w:w="70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Failures, complaints, lessons — published, not buried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7. Recommendations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For courts, policymakers, the Mediation Council and practitioners</w:t>
            </w:r>
          </w:p>
        </w:tc>
      </w:tr>
      <w:tr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8. Method &amp; limitations</w:t>
            </w:r>
          </w:p>
        </w:tc>
        <w:tc>
          <w:tcPr>
            <w:tcW w:type="dxa" w:w="70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Data sources, comparison design, and an honest statement of what the data cannot show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Governance &amp; credibility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An </w:t>
      </w:r>
      <w:r>
        <w:rPr>
          <w:rFonts w:ascii="Calibri" w:hAnsi="Calibri"/>
          <w:b/>
          <w:i w:val="0"/>
          <w:color w:val="1B2A32"/>
          <w:sz w:val="21"/>
        </w:rPr>
        <w:t>advisory board</w:t>
      </w:r>
      <w:r>
        <w:rPr>
          <w:rFonts w:ascii="Calibri" w:hAnsi="Calibri"/>
          <w:b w:val="0"/>
          <w:i w:val="0"/>
          <w:color w:val="1B2A32"/>
          <w:sz w:val="21"/>
        </w:rPr>
        <w:t xml:space="preserve"> including a retired judge, a family-law academic, a DV-sector representative and a child-welfare specialist.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Pre-registration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of the evaluation design for the court pilot, so the analysis cannot be tuned after the fact.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Open method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publish the questionnaire, the definitions and the limitations alongside the findings.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Data sharing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anonymised datasets offered to researchers under a data-use agreement.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01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Phase</w:t>
            </w:r>
          </w:p>
        </w:tc>
        <w:tc>
          <w:tcPr>
            <w:tcW w:type="dxa" w:w="21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Timing</w:t>
            </w:r>
          </w:p>
        </w:tc>
        <w:tc>
          <w:tcPr>
            <w:tcW w:type="dxa" w:w="532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Baseline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Pre-launch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Definitions, instruments, ethics approach, comparison design agreed</w:t>
            </w:r>
          </w:p>
        </w:tc>
      </w:tr>
      <w:tr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Pilot evaluation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Months 6–12</w:t>
            </w:r>
          </w:p>
        </w:tc>
        <w:tc>
          <w:tcPr>
            <w:tcW w:type="dxa" w:w="53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Independent pilot report (see the Court MoU &amp; Pilot Plan)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First annual report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Month 15–18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Edition 1 of *The State of Family Mediation in India*</w:t>
            </w:r>
          </w:p>
        </w:tc>
      </w:tr>
      <w:tr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Longitudinal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Year 2+</w:t>
            </w:r>
          </w:p>
        </w:tc>
        <w:tc>
          <w:tcPr>
            <w:tcW w:type="dxa" w:w="53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12-month durability cohort; policy engagement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Family &amp; Marital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90B186-8969-4575-984E-A477434FA480}"/>
</file>

<file path=customXml/itemProps3.xml><?xml version="1.0" encoding="utf-8"?>
<ds:datastoreItem xmlns:ds="http://schemas.openxmlformats.org/officeDocument/2006/customXml" ds:itemID="{FF40CC1D-2E78-4DE5-99F2-EFAD434A3010}"/>
</file>

<file path=customXml/itemProps4.xml><?xml version="1.0" encoding="utf-8"?>
<ds:datastoreItem xmlns:ds="http://schemas.openxmlformats.org/officeDocument/2006/customXml" ds:itemID="{B36B87FD-6364-4D9F-B87F-62C11EC842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