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Family Mediation</w:t>
      </w:r>
    </w:p>
    <w:p>
      <w:pPr>
        <w:pBdr>
          <w:top w:val="single" w:sz="14" w:space="6" w:color="C6A15B"/>
          <w:bottom w:val="single" w:sz="14" w:space="6" w:color="C6A15B"/>
        </w:pBdr>
      </w:pPr>
    </w:p>
    <w:p>
      <w:pPr>
        <w:spacing w:before="600"/>
        <w:jc w:val="center"/>
      </w:pPr>
      <w:r>
        <w:rPr>
          <w:rFonts w:ascii="Calibri" w:hAnsi="Calibri"/>
          <w:b/>
          <w:i w:val="0"/>
          <w:color w:val="123B4F"/>
          <w:sz w:val="48"/>
        </w:rPr>
        <w:t>MCI Recognition Application Pack</w:t>
      </w:r>
    </w:p>
    <w:p>
      <w:pPr>
        <w:jc w:val="center"/>
      </w:pPr>
      <w:r>
        <w:rPr>
          <w:rFonts w:ascii="Calibri" w:hAnsi="Calibri"/>
          <w:b w:val="0"/>
          <w:i/>
          <w:color w:val="556168"/>
          <w:sz w:val="25"/>
        </w:rPr>
        <w:t>Assembling the application to be recognised as a Mediation Service Provider under the Mediation Act, 2023</w:t>
      </w:r>
    </w:p>
    <w:p/>
    <w:p/>
    <w:p/>
    <w:p/>
    <w:p/>
    <w:p/>
    <w:p/>
    <w:p/>
    <w:p>
      <w:pPr>
        <w:jc w:val="center"/>
      </w:pPr>
      <w:r>
        <w:rPr>
          <w:rFonts w:ascii="Calibri" w:hAnsi="Calibri"/>
          <w:b/>
          <w:i w:val="0"/>
          <w:color w:val="1E7A8C"/>
          <w:sz w:val="22"/>
        </w:rPr>
        <w:t>Family &amp; Marital Dispute Resolution vertical</w:t>
      </w:r>
    </w:p>
    <w:p>
      <w:pPr>
        <w:jc w:val="center"/>
      </w:pPr>
      <w:r>
        <w:rPr>
          <w:rFonts w:ascii="Calibri" w:hAnsi="Calibri"/>
          <w:b w:val="0"/>
          <w:i w:val="0"/>
          <w:color w:val="556168"/>
          <w:sz w:val="19"/>
        </w:rPr>
        <w:t>July 2026  ·  Draft for legal sign-off  ·  www.equatorresolution.com</w:t>
      </w:r>
    </w:p>
    <w:p>
      <w:r>
        <w:br w:type="page"/>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Status and how to use this</w:t>
            </w:r>
          </w:p>
          <w:p>
            <w:r>
              <w:rPr>
                <w:rFonts w:ascii="Calibri" w:hAnsi="Calibri"/>
                <w:b w:val="0"/>
                <w:i w:val="0"/>
                <w:color w:val="1B2A32"/>
                <w:sz w:val="19"/>
              </w:rPr>
              <w:t xml:space="preserve">The </w:t>
            </w:r>
            <w:r>
              <w:rPr>
                <w:rFonts w:ascii="Calibri" w:hAnsi="Calibri"/>
                <w:b/>
                <w:i w:val="0"/>
                <w:color w:val="1B2A32"/>
                <w:sz w:val="19"/>
              </w:rPr>
              <w:t>Mediation Council of India</w:t>
            </w:r>
            <w:r>
              <w:rPr>
                <w:rFonts w:ascii="Calibri" w:hAnsi="Calibri"/>
                <w:b w:val="0"/>
                <w:i w:val="0"/>
                <w:color w:val="1B2A32"/>
                <w:sz w:val="19"/>
              </w:rPr>
              <w:t xml:space="preserve"> is being operationalised, and the regulations prescribing the form, fee and criteria for recognising a </w:t>
            </w:r>
            <w:r>
              <w:rPr>
                <w:rFonts w:ascii="Calibri" w:hAnsi="Calibri"/>
                <w:b/>
                <w:i w:val="0"/>
                <w:color w:val="1B2A32"/>
                <w:sz w:val="19"/>
              </w:rPr>
              <w:t>mediation service provider (MSP)</w:t>
            </w:r>
            <w:r>
              <w:rPr>
                <w:rFonts w:ascii="Calibri" w:hAnsi="Calibri"/>
                <w:b w:val="0"/>
                <w:i w:val="0"/>
                <w:color w:val="1B2A32"/>
                <w:sz w:val="19"/>
              </w:rPr>
              <w:t xml:space="preserve"> are not yet settled. This pack is therefore built as an </w:t>
            </w:r>
            <w:r>
              <w:rPr>
                <w:rFonts w:ascii="Calibri" w:hAnsi="Calibri"/>
                <w:b/>
                <w:i w:val="0"/>
                <w:color w:val="1B2A32"/>
                <w:sz w:val="19"/>
              </w:rPr>
              <w:t>assembly checklist</w:t>
            </w:r>
            <w:r>
              <w:rPr>
                <w:rFonts w:ascii="Calibri" w:hAnsi="Calibri"/>
                <w:b w:val="0"/>
                <w:i w:val="0"/>
                <w:color w:val="1B2A32"/>
                <w:sz w:val="19"/>
              </w:rPr>
              <w:t>: it lists the evidence a serious applicant should already hold, mapped to what the Act contemplates, so that when the form is notified you are filling it in rather than starting from scratch. Confirm the notified requirements with counsel before filing — they govern, not this pack.</w:t>
            </w:r>
          </w:p>
        </w:tc>
      </w:tr>
    </w:tbl>
    <w:p>
      <w:pPr>
        <w:spacing w:after="40"/>
      </w:pPr>
    </w:p>
    <w:p>
      <w:pPr>
        <w:keepNext/>
        <w:spacing w:before="280" w:after="120"/>
        <w:pBdr>
          <w:bottom w:val="single" w:sz="12" w:space="3" w:color="C6A15B"/>
        </w:pBdr>
      </w:pPr>
      <w:r>
        <w:rPr>
          <w:rFonts w:ascii="Calibri" w:hAnsi="Calibri"/>
          <w:b/>
          <w:i w:val="0"/>
          <w:color w:val="123B4F"/>
          <w:sz w:val="32"/>
        </w:rPr>
        <w:t>What the Act contemplates</w:t>
      </w:r>
    </w:p>
    <w:p>
      <w:pPr>
        <w:spacing w:after="120"/>
        <w:jc w:val="both"/>
      </w:pPr>
      <w:r>
        <w:rPr>
          <w:rFonts w:ascii="Calibri" w:hAnsi="Calibri"/>
          <w:b w:val="0"/>
          <w:i w:val="0"/>
          <w:color w:val="1B2A32"/>
          <w:sz w:val="21"/>
        </w:rPr>
        <w:t xml:space="preserve">The Mediation Act, 2023 establishes the Mediation Council of India and empowers it, among other things, to lay down standards for the </w:t>
      </w:r>
      <w:r>
        <w:rPr>
          <w:rFonts w:ascii="Calibri" w:hAnsi="Calibri"/>
          <w:b/>
          <w:i w:val="0"/>
          <w:color w:val="1B2A32"/>
          <w:sz w:val="21"/>
        </w:rPr>
        <w:t>registration and grading of mediators</w:t>
      </w:r>
      <w:r>
        <w:rPr>
          <w:rFonts w:ascii="Calibri" w:hAnsi="Calibri"/>
          <w:b w:val="0"/>
          <w:i w:val="0"/>
          <w:color w:val="1B2A32"/>
          <w:sz w:val="21"/>
        </w:rPr>
        <w:t xml:space="preserve">, to </w:t>
      </w:r>
      <w:r>
        <w:rPr>
          <w:rFonts w:ascii="Calibri" w:hAnsi="Calibri"/>
          <w:b/>
          <w:i w:val="0"/>
          <w:color w:val="1B2A32"/>
          <w:sz w:val="21"/>
        </w:rPr>
        <w:t>recognise mediation service providers</w:t>
      </w:r>
      <w:r>
        <w:rPr>
          <w:rFonts w:ascii="Calibri" w:hAnsi="Calibri"/>
          <w:b w:val="0"/>
          <w:i w:val="0"/>
          <w:color w:val="1B2A32"/>
          <w:sz w:val="21"/>
        </w:rPr>
        <w:t xml:space="preserve"> and mediation institutes, and to specify the manner of their functioning. An MSP is broadly an institution that administers mediation and maintains a panel. Our application must therefore evidence four things: </w:t>
      </w:r>
      <w:r>
        <w:rPr>
          <w:rFonts w:ascii="Calibri" w:hAnsi="Calibri"/>
          <w:b/>
          <w:i w:val="0"/>
          <w:color w:val="1B2A32"/>
          <w:sz w:val="21"/>
        </w:rPr>
        <w:t>a properly constituted institution</w:t>
      </w:r>
      <w:r>
        <w:rPr>
          <w:rFonts w:ascii="Calibri" w:hAnsi="Calibri"/>
          <w:b w:val="0"/>
          <w:i w:val="0"/>
          <w:color w:val="1B2A32"/>
          <w:sz w:val="21"/>
        </w:rPr>
        <w:t xml:space="preserve">, </w:t>
      </w:r>
      <w:r>
        <w:rPr>
          <w:rFonts w:ascii="Calibri" w:hAnsi="Calibri"/>
          <w:b/>
          <w:i w:val="0"/>
          <w:color w:val="1B2A32"/>
          <w:sz w:val="21"/>
        </w:rPr>
        <w:t>a qualified and graded panel</w:t>
      </w:r>
      <w:r>
        <w:rPr>
          <w:rFonts w:ascii="Calibri" w:hAnsi="Calibri"/>
          <w:b w:val="0"/>
          <w:i w:val="0"/>
          <w:color w:val="1B2A32"/>
          <w:sz w:val="21"/>
        </w:rPr>
        <w:t xml:space="preserve">, </w:t>
      </w:r>
      <w:r>
        <w:rPr>
          <w:rFonts w:ascii="Calibri" w:hAnsi="Calibri"/>
          <w:b/>
          <w:i w:val="0"/>
          <w:color w:val="1B2A32"/>
          <w:sz w:val="21"/>
        </w:rPr>
        <w:t>a documented and auditable process</w:t>
      </w:r>
      <w:r>
        <w:rPr>
          <w:rFonts w:ascii="Calibri" w:hAnsi="Calibri"/>
          <w:b w:val="0"/>
          <w:i w:val="0"/>
          <w:color w:val="1B2A32"/>
          <w:sz w:val="21"/>
        </w:rPr>
        <w:t xml:space="preserve">, and </w:t>
      </w:r>
      <w:r>
        <w:rPr>
          <w:rFonts w:ascii="Calibri" w:hAnsi="Calibri"/>
          <w:b/>
          <w:i w:val="0"/>
          <w:color w:val="1B2A32"/>
          <w:sz w:val="21"/>
        </w:rPr>
        <w:t>records and reporting we can stand behind</w:t>
      </w:r>
      <w:r>
        <w:rPr>
          <w:rFonts w:ascii="Calibri" w:hAnsi="Calibri"/>
          <w:b w:val="0"/>
          <w:i w:val="0"/>
          <w:color w:val="1B2A32"/>
          <w:sz w:val="21"/>
        </w:rPr>
        <w:t>.</w:t>
      </w:r>
    </w:p>
    <w:p>
      <w:pPr>
        <w:keepNext/>
        <w:spacing w:before="280" w:after="120"/>
        <w:pBdr>
          <w:bottom w:val="single" w:sz="12" w:space="3" w:color="C6A15B"/>
        </w:pBdr>
      </w:pPr>
      <w:r>
        <w:rPr>
          <w:rFonts w:ascii="Calibri" w:hAnsi="Calibri"/>
          <w:b/>
          <w:i w:val="0"/>
          <w:color w:val="123B4F"/>
          <w:sz w:val="32"/>
        </w:rPr>
        <w:t>1.  Part A — Institutional evidence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720"/>
            <w:shd w:val="clear" w:fill="123B4F"/>
          </w:tcPr>
          <w:p>
            <w:r/>
            <w:r>
              <w:rPr>
                <w:rFonts w:ascii="Calibri" w:hAnsi="Calibri"/>
                <w:b/>
                <w:i w:val="0"/>
                <w:color w:val="FFFFFF"/>
                <w:sz w:val="17"/>
              </w:rPr>
              <w:t>#</w:t>
            </w:r>
          </w:p>
        </w:tc>
        <w:tc>
          <w:tcPr>
            <w:tcW w:type="dxa" w:w="4320"/>
            <w:shd w:val="clear" w:fill="123B4F"/>
          </w:tcPr>
          <w:p>
            <w:r/>
            <w:r>
              <w:rPr>
                <w:rFonts w:ascii="Calibri" w:hAnsi="Calibri"/>
                <w:b/>
                <w:i w:val="0"/>
                <w:color w:val="FFFFFF"/>
                <w:sz w:val="17"/>
              </w:rPr>
              <w:t>Document / evidence</w:t>
            </w:r>
          </w:p>
        </w:tc>
        <w:tc>
          <w:tcPr>
            <w:tcW w:type="dxa" w:w="3456"/>
            <w:shd w:val="clear" w:fill="123B4F"/>
          </w:tcPr>
          <w:p>
            <w:r/>
            <w:r>
              <w:rPr>
                <w:rFonts w:ascii="Calibri" w:hAnsi="Calibri"/>
                <w:b/>
                <w:i w:val="0"/>
                <w:color w:val="FFFFFF"/>
                <w:sz w:val="17"/>
              </w:rPr>
              <w:t>Where it exists today</w:t>
            </w:r>
          </w:p>
        </w:tc>
        <w:tc>
          <w:tcPr>
            <w:tcW w:type="dxa" w:w="1008"/>
            <w:shd w:val="clear" w:fill="123B4F"/>
          </w:tcPr>
          <w:p>
            <w:r/>
            <w:r>
              <w:rPr>
                <w:rFonts w:ascii="Calibri" w:hAnsi="Calibri"/>
                <w:b/>
                <w:i w:val="0"/>
                <w:color w:val="FFFFFF"/>
                <w:sz w:val="17"/>
              </w:rPr>
              <w:t>Status</w:t>
            </w:r>
          </w:p>
        </w:tc>
      </w:tr>
      <w:tr>
        <w:tc>
          <w:tcPr>
            <w:tcW w:type="dxa" w:w="720"/>
          </w:tcPr>
          <w:p>
            <w:r/>
            <w:r>
              <w:rPr>
                <w:rFonts w:ascii="Calibri" w:hAnsi="Calibri"/>
                <w:b w:val="0"/>
                <w:i w:val="0"/>
                <w:color w:val="1B2A32"/>
                <w:sz w:val="17"/>
              </w:rPr>
              <w:t>A1</w:t>
            </w:r>
          </w:p>
        </w:tc>
        <w:tc>
          <w:tcPr>
            <w:tcW w:type="dxa" w:w="4320"/>
          </w:tcPr>
          <w:p>
            <w:r/>
            <w:r>
              <w:rPr>
                <w:rFonts w:ascii="Calibri" w:hAnsi="Calibri"/>
                <w:b w:val="0"/>
                <w:i w:val="0"/>
                <w:color w:val="1B2A32"/>
                <w:sz w:val="17"/>
              </w:rPr>
              <w:t>Certificate of incorporation and constitutional documents</w:t>
            </w:r>
          </w:p>
        </w:tc>
        <w:tc>
          <w:tcPr>
            <w:tcW w:type="dxa" w:w="3456"/>
          </w:tcPr>
          <w:p>
            <w:r/>
            <w:r>
              <w:rPr>
                <w:rFonts w:ascii="Calibri" w:hAnsi="Calibri"/>
                <w:b w:val="0"/>
                <w:i w:val="0"/>
                <w:color w:val="1B2A32"/>
                <w:sz w:val="17"/>
              </w:rPr>
              <w:t>To be obtained on incorporation</w:t>
            </w:r>
          </w:p>
        </w:tc>
        <w:tc>
          <w:tcPr>
            <w:tcW w:type="dxa" w:w="1008"/>
          </w:tcPr>
          <w:p>
            <w:r/>
          </w:p>
        </w:tc>
      </w:tr>
      <w:tr>
        <w:tc>
          <w:tcPr>
            <w:tcW w:type="dxa" w:w="720"/>
            <w:shd w:val="clear" w:fill="F3F7F9"/>
          </w:tcPr>
          <w:p>
            <w:r/>
            <w:r>
              <w:rPr>
                <w:rFonts w:ascii="Calibri" w:hAnsi="Calibri"/>
                <w:b w:val="0"/>
                <w:i w:val="0"/>
                <w:color w:val="1B2A32"/>
                <w:sz w:val="17"/>
              </w:rPr>
              <w:t>A2</w:t>
            </w:r>
          </w:p>
        </w:tc>
        <w:tc>
          <w:tcPr>
            <w:tcW w:type="dxa" w:w="4320"/>
            <w:shd w:val="clear" w:fill="F3F7F9"/>
          </w:tcPr>
          <w:p>
            <w:r/>
            <w:r>
              <w:rPr>
                <w:rFonts w:ascii="Calibri" w:hAnsi="Calibri"/>
                <w:b w:val="0"/>
                <w:i w:val="0"/>
                <w:color w:val="1B2A32"/>
                <w:sz w:val="17"/>
              </w:rPr>
              <w:t>Entity structure and rationale (incl. any not-for-profit arm)</w:t>
            </w:r>
          </w:p>
        </w:tc>
        <w:tc>
          <w:tcPr>
            <w:tcW w:type="dxa" w:w="3456"/>
            <w:shd w:val="clear" w:fill="F3F7F9"/>
          </w:tcPr>
          <w:p>
            <w:r/>
            <w:r>
              <w:rPr>
                <w:rFonts w:ascii="Calibri" w:hAnsi="Calibri"/>
                <w:b w:val="0"/>
                <w:i w:val="0"/>
                <w:color w:val="1B2A32"/>
                <w:sz w:val="17"/>
              </w:rPr>
              <w:t>Entity, Regulatory &amp; Insurance Setup</w:t>
            </w:r>
          </w:p>
        </w:tc>
        <w:tc>
          <w:tcPr>
            <w:tcW w:type="dxa" w:w="1008"/>
            <w:shd w:val="clear" w:fill="F3F7F9"/>
          </w:tcPr>
          <w:p>
            <w:r/>
          </w:p>
        </w:tc>
      </w:tr>
      <w:tr>
        <w:tc>
          <w:tcPr>
            <w:tcW w:type="dxa" w:w="720"/>
          </w:tcPr>
          <w:p>
            <w:r/>
            <w:r>
              <w:rPr>
                <w:rFonts w:ascii="Calibri" w:hAnsi="Calibri"/>
                <w:b w:val="0"/>
                <w:i w:val="0"/>
                <w:color w:val="1B2A32"/>
                <w:sz w:val="17"/>
              </w:rPr>
              <w:t>A3</w:t>
            </w:r>
          </w:p>
        </w:tc>
        <w:tc>
          <w:tcPr>
            <w:tcW w:type="dxa" w:w="4320"/>
          </w:tcPr>
          <w:p>
            <w:r/>
            <w:r>
              <w:rPr>
                <w:rFonts w:ascii="Calibri" w:hAnsi="Calibri"/>
                <w:b w:val="0"/>
                <w:i w:val="0"/>
                <w:color w:val="1B2A32"/>
                <w:sz w:val="17"/>
              </w:rPr>
              <w:t>Governing body / Board composition and profiles</w:t>
            </w:r>
          </w:p>
        </w:tc>
        <w:tc>
          <w:tcPr>
            <w:tcW w:type="dxa" w:w="3456"/>
          </w:tcPr>
          <w:p>
            <w:r/>
            <w:r>
              <w:rPr>
                <w:rFonts w:ascii="Calibri" w:hAnsi="Calibri"/>
                <w:b w:val="0"/>
                <w:i w:val="0"/>
                <w:color w:val="1B2A32"/>
                <w:sz w:val="17"/>
              </w:rPr>
              <w:t>To be prepared</w:t>
            </w:r>
          </w:p>
        </w:tc>
        <w:tc>
          <w:tcPr>
            <w:tcW w:type="dxa" w:w="1008"/>
          </w:tcPr>
          <w:p>
            <w:r/>
          </w:p>
        </w:tc>
      </w:tr>
      <w:tr>
        <w:tc>
          <w:tcPr>
            <w:tcW w:type="dxa" w:w="720"/>
            <w:shd w:val="clear" w:fill="F3F7F9"/>
          </w:tcPr>
          <w:p>
            <w:r/>
            <w:r>
              <w:rPr>
                <w:rFonts w:ascii="Calibri" w:hAnsi="Calibri"/>
                <w:b w:val="0"/>
                <w:i w:val="0"/>
                <w:color w:val="1B2A32"/>
                <w:sz w:val="17"/>
              </w:rPr>
              <w:t>A4</w:t>
            </w:r>
          </w:p>
        </w:tc>
        <w:tc>
          <w:tcPr>
            <w:tcW w:type="dxa" w:w="4320"/>
            <w:shd w:val="clear" w:fill="F3F7F9"/>
          </w:tcPr>
          <w:p>
            <w:r/>
            <w:r>
              <w:rPr>
                <w:rFonts w:ascii="Calibri" w:hAnsi="Calibri"/>
                <w:b w:val="0"/>
                <w:i w:val="0"/>
                <w:color w:val="1B2A32"/>
                <w:sz w:val="17"/>
              </w:rPr>
              <w:t>Registered and operating addresses; jurisdictions served</w:t>
            </w:r>
          </w:p>
        </w:tc>
        <w:tc>
          <w:tcPr>
            <w:tcW w:type="dxa" w:w="3456"/>
            <w:shd w:val="clear" w:fill="F3F7F9"/>
          </w:tcPr>
          <w:p>
            <w:r/>
            <w:r>
              <w:rPr>
                <w:rFonts w:ascii="Calibri" w:hAnsi="Calibri"/>
                <w:b w:val="0"/>
                <w:i w:val="0"/>
                <w:color w:val="1B2A32"/>
                <w:sz w:val="17"/>
              </w:rPr>
              <w:t>To be prepared</w:t>
            </w:r>
          </w:p>
        </w:tc>
        <w:tc>
          <w:tcPr>
            <w:tcW w:type="dxa" w:w="1008"/>
            <w:shd w:val="clear" w:fill="F3F7F9"/>
          </w:tcPr>
          <w:p>
            <w:r/>
          </w:p>
        </w:tc>
      </w:tr>
      <w:tr>
        <w:tc>
          <w:tcPr>
            <w:tcW w:type="dxa" w:w="720"/>
          </w:tcPr>
          <w:p>
            <w:r/>
            <w:r>
              <w:rPr>
                <w:rFonts w:ascii="Calibri" w:hAnsi="Calibri"/>
                <w:b w:val="0"/>
                <w:i w:val="0"/>
                <w:color w:val="1B2A32"/>
                <w:sz w:val="17"/>
              </w:rPr>
              <w:t>A5</w:t>
            </w:r>
          </w:p>
        </w:tc>
        <w:tc>
          <w:tcPr>
            <w:tcW w:type="dxa" w:w="4320"/>
          </w:tcPr>
          <w:p>
            <w:r/>
            <w:r>
              <w:rPr>
                <w:rFonts w:ascii="Calibri" w:hAnsi="Calibri"/>
                <w:b w:val="0"/>
                <w:i w:val="0"/>
                <w:color w:val="1B2A32"/>
                <w:sz w:val="17"/>
              </w:rPr>
              <w:t>Audited financial statements / opening balance sheet</w:t>
            </w:r>
          </w:p>
        </w:tc>
        <w:tc>
          <w:tcPr>
            <w:tcW w:type="dxa" w:w="3456"/>
          </w:tcPr>
          <w:p>
            <w:r/>
            <w:r>
              <w:rPr>
                <w:rFonts w:ascii="Calibri" w:hAnsi="Calibri"/>
                <w:b w:val="0"/>
                <w:i w:val="0"/>
                <w:color w:val="1B2A32"/>
                <w:sz w:val="17"/>
              </w:rPr>
              <w:t>Finance</w:t>
            </w:r>
          </w:p>
        </w:tc>
        <w:tc>
          <w:tcPr>
            <w:tcW w:type="dxa" w:w="1008"/>
          </w:tcPr>
          <w:p>
            <w:r/>
          </w:p>
        </w:tc>
      </w:tr>
      <w:tr>
        <w:tc>
          <w:tcPr>
            <w:tcW w:type="dxa" w:w="720"/>
            <w:shd w:val="clear" w:fill="F3F7F9"/>
          </w:tcPr>
          <w:p>
            <w:r/>
            <w:r>
              <w:rPr>
                <w:rFonts w:ascii="Calibri" w:hAnsi="Calibri"/>
                <w:b w:val="0"/>
                <w:i w:val="0"/>
                <w:color w:val="1B2A32"/>
                <w:sz w:val="17"/>
              </w:rPr>
              <w:t>A6</w:t>
            </w:r>
          </w:p>
        </w:tc>
        <w:tc>
          <w:tcPr>
            <w:tcW w:type="dxa" w:w="4320"/>
            <w:shd w:val="clear" w:fill="F3F7F9"/>
          </w:tcPr>
          <w:p>
            <w:r/>
            <w:r>
              <w:rPr>
                <w:rFonts w:ascii="Calibri" w:hAnsi="Calibri"/>
                <w:b w:val="0"/>
                <w:i w:val="0"/>
                <w:color w:val="1B2A32"/>
                <w:sz w:val="17"/>
              </w:rPr>
              <w:t>Professional-indemnity and cyber insurance certificates</w:t>
            </w:r>
          </w:p>
        </w:tc>
        <w:tc>
          <w:tcPr>
            <w:tcW w:type="dxa" w:w="3456"/>
            <w:shd w:val="clear" w:fill="F3F7F9"/>
          </w:tcPr>
          <w:p>
            <w:r/>
            <w:r>
              <w:rPr>
                <w:rFonts w:ascii="Calibri" w:hAnsi="Calibri"/>
                <w:b w:val="0"/>
                <w:i w:val="0"/>
                <w:color w:val="1B2A32"/>
                <w:sz w:val="17"/>
              </w:rPr>
              <w:t>Entity, Regulatory &amp; Insurance Setup</w:t>
            </w:r>
          </w:p>
        </w:tc>
        <w:tc>
          <w:tcPr>
            <w:tcW w:type="dxa" w:w="1008"/>
            <w:shd w:val="clear" w:fill="F3F7F9"/>
          </w:tcPr>
          <w:p>
            <w:r/>
          </w:p>
        </w:tc>
      </w:tr>
      <w:tr>
        <w:tc>
          <w:tcPr>
            <w:tcW w:type="dxa" w:w="720"/>
          </w:tcPr>
          <w:p>
            <w:r/>
            <w:r>
              <w:rPr>
                <w:rFonts w:ascii="Calibri" w:hAnsi="Calibri"/>
                <w:b w:val="0"/>
                <w:i w:val="0"/>
                <w:color w:val="1B2A32"/>
                <w:sz w:val="17"/>
              </w:rPr>
              <w:t>A7</w:t>
            </w:r>
          </w:p>
        </w:tc>
        <w:tc>
          <w:tcPr>
            <w:tcW w:type="dxa" w:w="4320"/>
          </w:tcPr>
          <w:p>
            <w:r/>
            <w:r>
              <w:rPr>
                <w:rFonts w:ascii="Calibri" w:hAnsi="Calibri"/>
                <w:b w:val="0"/>
                <w:i w:val="0"/>
                <w:color w:val="1B2A32"/>
                <w:sz w:val="17"/>
              </w:rPr>
              <w:t>Trademark filings for the institutional name and marks</w:t>
            </w:r>
          </w:p>
        </w:tc>
        <w:tc>
          <w:tcPr>
            <w:tcW w:type="dxa" w:w="3456"/>
          </w:tcPr>
          <w:p>
            <w:r/>
            <w:r>
              <w:rPr>
                <w:rFonts w:ascii="Calibri" w:hAnsi="Calibri"/>
                <w:b w:val="0"/>
                <w:i w:val="0"/>
                <w:color w:val="1B2A32"/>
                <w:sz w:val="17"/>
              </w:rPr>
              <w:t>Entity, Regulatory &amp; Insurance Setup</w:t>
            </w:r>
          </w:p>
        </w:tc>
        <w:tc>
          <w:tcPr>
            <w:tcW w:type="dxa" w:w="1008"/>
          </w:tcPr>
          <w:p>
            <w:r/>
          </w:p>
        </w:tc>
      </w:tr>
      <w:tr>
        <w:tc>
          <w:tcPr>
            <w:tcW w:type="dxa" w:w="720"/>
            <w:shd w:val="clear" w:fill="F3F7F9"/>
          </w:tcPr>
          <w:p>
            <w:r/>
            <w:r>
              <w:rPr>
                <w:rFonts w:ascii="Calibri" w:hAnsi="Calibri"/>
                <w:b w:val="0"/>
                <w:i w:val="0"/>
                <w:color w:val="1B2A32"/>
                <w:sz w:val="17"/>
              </w:rPr>
              <w:t>A8</w:t>
            </w:r>
          </w:p>
        </w:tc>
        <w:tc>
          <w:tcPr>
            <w:tcW w:type="dxa" w:w="4320"/>
            <w:shd w:val="clear" w:fill="F3F7F9"/>
          </w:tcPr>
          <w:p>
            <w:r/>
            <w:r>
              <w:rPr>
                <w:rFonts w:ascii="Calibri" w:hAnsi="Calibri"/>
                <w:b w:val="0"/>
                <w:i w:val="0"/>
                <w:color w:val="1B2A32"/>
                <w:sz w:val="17"/>
              </w:rPr>
              <w:t>Declaration of no disqualification of promoters/officers</w:t>
            </w:r>
          </w:p>
        </w:tc>
        <w:tc>
          <w:tcPr>
            <w:tcW w:type="dxa" w:w="3456"/>
            <w:shd w:val="clear" w:fill="F3F7F9"/>
          </w:tcPr>
          <w:p>
            <w:r/>
            <w:r>
              <w:rPr>
                <w:rFonts w:ascii="Calibri" w:hAnsi="Calibri"/>
                <w:b w:val="0"/>
                <w:i w:val="0"/>
                <w:color w:val="1B2A32"/>
                <w:sz w:val="17"/>
              </w:rPr>
              <w:t>To be prepared</w:t>
            </w:r>
          </w:p>
        </w:tc>
        <w:tc>
          <w:tcPr>
            <w:tcW w:type="dxa" w:w="1008"/>
            <w:shd w:val="clear" w:fill="F3F7F9"/>
          </w:tcPr>
          <w:p>
            <w:r/>
          </w:p>
        </w:tc>
      </w:tr>
    </w:tbl>
    <w:p>
      <w:pPr>
        <w:spacing w:after="40"/>
      </w:pPr>
    </w:p>
    <w:p>
      <w:pPr>
        <w:keepNext/>
        <w:spacing w:before="280" w:after="120"/>
        <w:pBdr>
          <w:bottom w:val="single" w:sz="12" w:space="3" w:color="C6A15B"/>
        </w:pBdr>
      </w:pPr>
      <w:r>
        <w:rPr>
          <w:rFonts w:ascii="Calibri" w:hAnsi="Calibri"/>
          <w:b/>
          <w:i w:val="0"/>
          <w:color w:val="123B4F"/>
          <w:sz w:val="32"/>
        </w:rPr>
        <w:t>2.  Part B — Rules, governance and ethics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720"/>
            <w:shd w:val="clear" w:fill="123B4F"/>
          </w:tcPr>
          <w:p>
            <w:r/>
            <w:r>
              <w:rPr>
                <w:rFonts w:ascii="Calibri" w:hAnsi="Calibri"/>
                <w:b/>
                <w:i w:val="0"/>
                <w:color w:val="FFFFFF"/>
                <w:sz w:val="17"/>
              </w:rPr>
              <w:t>#</w:t>
            </w:r>
          </w:p>
        </w:tc>
        <w:tc>
          <w:tcPr>
            <w:tcW w:type="dxa" w:w="4320"/>
            <w:shd w:val="clear" w:fill="123B4F"/>
          </w:tcPr>
          <w:p>
            <w:r/>
            <w:r>
              <w:rPr>
                <w:rFonts w:ascii="Calibri" w:hAnsi="Calibri"/>
                <w:b/>
                <w:i w:val="0"/>
                <w:color w:val="FFFFFF"/>
                <w:sz w:val="17"/>
              </w:rPr>
              <w:t>Document / evidence</w:t>
            </w:r>
          </w:p>
        </w:tc>
        <w:tc>
          <w:tcPr>
            <w:tcW w:type="dxa" w:w="3456"/>
            <w:shd w:val="clear" w:fill="123B4F"/>
          </w:tcPr>
          <w:p>
            <w:r/>
            <w:r>
              <w:rPr>
                <w:rFonts w:ascii="Calibri" w:hAnsi="Calibri"/>
                <w:b/>
                <w:i w:val="0"/>
                <w:color w:val="FFFFFF"/>
                <w:sz w:val="17"/>
              </w:rPr>
              <w:t>Where it exists today</w:t>
            </w:r>
          </w:p>
        </w:tc>
        <w:tc>
          <w:tcPr>
            <w:tcW w:type="dxa" w:w="1008"/>
            <w:shd w:val="clear" w:fill="123B4F"/>
          </w:tcPr>
          <w:p>
            <w:r/>
            <w:r>
              <w:rPr>
                <w:rFonts w:ascii="Calibri" w:hAnsi="Calibri"/>
                <w:b/>
                <w:i w:val="0"/>
                <w:color w:val="FFFFFF"/>
                <w:sz w:val="17"/>
              </w:rPr>
              <w:t>Status</w:t>
            </w:r>
          </w:p>
        </w:tc>
      </w:tr>
      <w:tr>
        <w:tc>
          <w:tcPr>
            <w:tcW w:type="dxa" w:w="720"/>
          </w:tcPr>
          <w:p>
            <w:r/>
            <w:r>
              <w:rPr>
                <w:rFonts w:ascii="Calibri" w:hAnsi="Calibri"/>
                <w:b w:val="0"/>
                <w:i w:val="0"/>
                <w:color w:val="1B2A32"/>
                <w:sz w:val="17"/>
              </w:rPr>
              <w:t>B1</w:t>
            </w:r>
          </w:p>
        </w:tc>
        <w:tc>
          <w:tcPr>
            <w:tcW w:type="dxa" w:w="4320"/>
          </w:tcPr>
          <w:p>
            <w:r/>
            <w:r>
              <w:rPr>
                <w:rFonts w:ascii="Calibri" w:hAnsi="Calibri"/>
                <w:b w:val="0"/>
                <w:i w:val="0"/>
                <w:color w:val="1B2A32"/>
                <w:sz w:val="17"/>
              </w:rPr>
              <w:t xml:space="preserve">Published </w:t>
            </w:r>
            <w:r>
              <w:rPr>
                <w:rFonts w:ascii="Calibri" w:hAnsi="Calibri"/>
                <w:b/>
                <w:i w:val="0"/>
                <w:color w:val="1B2A32"/>
                <w:sz w:val="17"/>
              </w:rPr>
              <w:t>Rules of Mediation</w:t>
            </w:r>
          </w:p>
        </w:tc>
        <w:tc>
          <w:tcPr>
            <w:tcW w:type="dxa" w:w="3456"/>
          </w:tcPr>
          <w:p>
            <w:r/>
            <w:r>
              <w:rPr>
                <w:rFonts w:ascii="Calibri" w:hAnsi="Calibri"/>
                <w:b w:val="0"/>
                <w:i w:val="0"/>
                <w:color w:val="1B2A32"/>
                <w:sz w:val="17"/>
              </w:rPr>
              <w:t>13 Launch Pack — Equator Rules of Mediation (Family)</w:t>
            </w:r>
          </w:p>
        </w:tc>
        <w:tc>
          <w:tcPr>
            <w:tcW w:type="dxa" w:w="1008"/>
          </w:tcPr>
          <w:p>
            <w:r/>
          </w:p>
        </w:tc>
      </w:tr>
      <w:tr>
        <w:tc>
          <w:tcPr>
            <w:tcW w:type="dxa" w:w="720"/>
            <w:shd w:val="clear" w:fill="F3F7F9"/>
          </w:tcPr>
          <w:p>
            <w:r/>
            <w:r>
              <w:rPr>
                <w:rFonts w:ascii="Calibri" w:hAnsi="Calibri"/>
                <w:b w:val="0"/>
                <w:i w:val="0"/>
                <w:color w:val="1B2A32"/>
                <w:sz w:val="17"/>
              </w:rPr>
              <w:t>B2</w:t>
            </w:r>
          </w:p>
        </w:tc>
        <w:tc>
          <w:tcPr>
            <w:tcW w:type="dxa" w:w="4320"/>
            <w:shd w:val="clear" w:fill="F3F7F9"/>
          </w:tcPr>
          <w:p>
            <w:r/>
            <w:r>
              <w:rPr>
                <w:rFonts w:ascii="Calibri" w:hAnsi="Calibri"/>
                <w:b/>
                <w:i w:val="0"/>
                <w:color w:val="1B2A32"/>
                <w:sz w:val="17"/>
              </w:rPr>
              <w:t>Mediator Code of Conduct</w:t>
            </w:r>
          </w:p>
        </w:tc>
        <w:tc>
          <w:tcPr>
            <w:tcW w:type="dxa" w:w="3456"/>
            <w:shd w:val="clear" w:fill="F3F7F9"/>
          </w:tcPr>
          <w:p>
            <w:r/>
            <w:r>
              <w:rPr>
                <w:rFonts w:ascii="Calibri" w:hAnsi="Calibri"/>
                <w:b w:val="0"/>
                <w:i w:val="0"/>
                <w:color w:val="1B2A32"/>
                <w:sz w:val="17"/>
              </w:rPr>
              <w:t>Annexure A to the Rules of Mediation</w:t>
            </w:r>
          </w:p>
        </w:tc>
        <w:tc>
          <w:tcPr>
            <w:tcW w:type="dxa" w:w="1008"/>
            <w:shd w:val="clear" w:fill="F3F7F9"/>
          </w:tcPr>
          <w:p>
            <w:r/>
          </w:p>
        </w:tc>
      </w:tr>
      <w:tr>
        <w:tc>
          <w:tcPr>
            <w:tcW w:type="dxa" w:w="720"/>
          </w:tcPr>
          <w:p>
            <w:r/>
            <w:r>
              <w:rPr>
                <w:rFonts w:ascii="Calibri" w:hAnsi="Calibri"/>
                <w:b w:val="0"/>
                <w:i w:val="0"/>
                <w:color w:val="1B2A32"/>
                <w:sz w:val="17"/>
              </w:rPr>
              <w:t>B3</w:t>
            </w:r>
          </w:p>
        </w:tc>
        <w:tc>
          <w:tcPr>
            <w:tcW w:type="dxa" w:w="4320"/>
          </w:tcPr>
          <w:p>
            <w:r/>
            <w:r>
              <w:rPr>
                <w:rFonts w:ascii="Calibri" w:hAnsi="Calibri"/>
                <w:b/>
                <w:i w:val="0"/>
                <w:color w:val="1B2A32"/>
                <w:sz w:val="17"/>
              </w:rPr>
              <w:t>Empanelment Bye-laws</w:t>
            </w:r>
            <w:r>
              <w:rPr>
                <w:rFonts w:ascii="Calibri" w:hAnsi="Calibri"/>
                <w:b w:val="0"/>
                <w:i w:val="0"/>
                <w:color w:val="1B2A32"/>
                <w:sz w:val="17"/>
              </w:rPr>
              <w:t xml:space="preserve"> — eligibility, grading, review, removal</w:t>
            </w:r>
          </w:p>
        </w:tc>
        <w:tc>
          <w:tcPr>
            <w:tcW w:type="dxa" w:w="3456"/>
          </w:tcPr>
          <w:p>
            <w:r/>
            <w:r>
              <w:rPr>
                <w:rFonts w:ascii="Calibri" w:hAnsi="Calibri"/>
                <w:b w:val="0"/>
                <w:i w:val="0"/>
                <w:color w:val="1B2A32"/>
                <w:sz w:val="17"/>
              </w:rPr>
              <w:t>13 Launch Pack — Empanelment Bye-laws</w:t>
            </w:r>
          </w:p>
        </w:tc>
        <w:tc>
          <w:tcPr>
            <w:tcW w:type="dxa" w:w="1008"/>
          </w:tcPr>
          <w:p>
            <w:r/>
          </w:p>
        </w:tc>
      </w:tr>
      <w:tr>
        <w:tc>
          <w:tcPr>
            <w:tcW w:type="dxa" w:w="720"/>
            <w:shd w:val="clear" w:fill="F3F7F9"/>
          </w:tcPr>
          <w:p>
            <w:r/>
            <w:r>
              <w:rPr>
                <w:rFonts w:ascii="Calibri" w:hAnsi="Calibri"/>
                <w:b w:val="0"/>
                <w:i w:val="0"/>
                <w:color w:val="1B2A32"/>
                <w:sz w:val="17"/>
              </w:rPr>
              <w:t>B4</w:t>
            </w:r>
          </w:p>
        </w:tc>
        <w:tc>
          <w:tcPr>
            <w:tcW w:type="dxa" w:w="4320"/>
            <w:shd w:val="clear" w:fill="F3F7F9"/>
          </w:tcPr>
          <w:p>
            <w:r/>
            <w:r>
              <w:rPr>
                <w:rFonts w:ascii="Calibri" w:hAnsi="Calibri"/>
                <w:b w:val="0"/>
                <w:i w:val="0"/>
                <w:color w:val="1B2A32"/>
                <w:sz w:val="17"/>
              </w:rPr>
              <w:t xml:space="preserve">Published </w:t>
            </w:r>
            <w:r>
              <w:rPr>
                <w:rFonts w:ascii="Calibri" w:hAnsi="Calibri"/>
                <w:b/>
                <w:i w:val="0"/>
                <w:color w:val="1B2A32"/>
                <w:sz w:val="17"/>
              </w:rPr>
              <w:t>Schedule of Fees</w:t>
            </w:r>
            <w:r>
              <w:rPr>
                <w:rFonts w:ascii="Calibri" w:hAnsi="Calibri"/>
                <w:b w:val="0"/>
                <w:i w:val="0"/>
                <w:color w:val="1B2A32"/>
                <w:sz w:val="17"/>
              </w:rPr>
              <w:t>, with concessions and pro-bono policy</w:t>
            </w:r>
          </w:p>
        </w:tc>
        <w:tc>
          <w:tcPr>
            <w:tcW w:type="dxa" w:w="3456"/>
            <w:shd w:val="clear" w:fill="F3F7F9"/>
          </w:tcPr>
          <w:p>
            <w:r/>
            <w:r>
              <w:rPr>
                <w:rFonts w:ascii="Calibri" w:hAnsi="Calibri"/>
                <w:b w:val="0"/>
                <w:i w:val="0"/>
                <w:color w:val="1B2A32"/>
                <w:sz w:val="17"/>
              </w:rPr>
              <w:t>13 Launch Pack — Schedule of Fees</w:t>
            </w:r>
          </w:p>
        </w:tc>
        <w:tc>
          <w:tcPr>
            <w:tcW w:type="dxa" w:w="1008"/>
            <w:shd w:val="clear" w:fill="F3F7F9"/>
          </w:tcPr>
          <w:p>
            <w:r/>
          </w:p>
        </w:tc>
      </w:tr>
      <w:tr>
        <w:tc>
          <w:tcPr>
            <w:tcW w:type="dxa" w:w="720"/>
          </w:tcPr>
          <w:p>
            <w:r/>
            <w:r>
              <w:rPr>
                <w:rFonts w:ascii="Calibri" w:hAnsi="Calibri"/>
                <w:b w:val="0"/>
                <w:i w:val="0"/>
                <w:color w:val="1B2A32"/>
                <w:sz w:val="17"/>
              </w:rPr>
              <w:t>B5</w:t>
            </w:r>
          </w:p>
        </w:tc>
        <w:tc>
          <w:tcPr>
            <w:tcW w:type="dxa" w:w="4320"/>
          </w:tcPr>
          <w:p>
            <w:r/>
            <w:r>
              <w:rPr>
                <w:rFonts w:ascii="Calibri" w:hAnsi="Calibri"/>
                <w:b/>
                <w:i w:val="0"/>
                <w:color w:val="1B2A32"/>
                <w:sz w:val="17"/>
              </w:rPr>
              <w:t>Grievance Redressal Policy</w:t>
            </w:r>
            <w:r>
              <w:rPr>
                <w:rFonts w:ascii="Calibri" w:hAnsi="Calibri"/>
                <w:b w:val="0"/>
                <w:i w:val="0"/>
                <w:color w:val="1B2A32"/>
                <w:sz w:val="17"/>
              </w:rPr>
              <w:t xml:space="preserve"> and named Grievance Officer</w:t>
            </w:r>
          </w:p>
        </w:tc>
        <w:tc>
          <w:tcPr>
            <w:tcW w:type="dxa" w:w="3456"/>
          </w:tcPr>
          <w:p>
            <w:r/>
            <w:r>
              <w:rPr>
                <w:rFonts w:ascii="Calibri" w:hAnsi="Calibri"/>
                <w:b w:val="0"/>
                <w:i w:val="0"/>
                <w:color w:val="1B2A32"/>
                <w:sz w:val="17"/>
              </w:rPr>
              <w:t>13 Launch Pack — Public Legal Pages</w:t>
            </w:r>
          </w:p>
        </w:tc>
        <w:tc>
          <w:tcPr>
            <w:tcW w:type="dxa" w:w="1008"/>
          </w:tcPr>
          <w:p>
            <w:r/>
          </w:p>
        </w:tc>
      </w:tr>
      <w:tr>
        <w:tc>
          <w:tcPr>
            <w:tcW w:type="dxa" w:w="720"/>
            <w:shd w:val="clear" w:fill="F3F7F9"/>
          </w:tcPr>
          <w:p>
            <w:r/>
            <w:r>
              <w:rPr>
                <w:rFonts w:ascii="Calibri" w:hAnsi="Calibri"/>
                <w:b w:val="0"/>
                <w:i w:val="0"/>
                <w:color w:val="1B2A32"/>
                <w:sz w:val="17"/>
              </w:rPr>
              <w:t>B6</w:t>
            </w:r>
          </w:p>
        </w:tc>
        <w:tc>
          <w:tcPr>
            <w:tcW w:type="dxa" w:w="4320"/>
            <w:shd w:val="clear" w:fill="F3F7F9"/>
          </w:tcPr>
          <w:p>
            <w:r/>
            <w:r>
              <w:rPr>
                <w:rFonts w:ascii="Calibri" w:hAnsi="Calibri"/>
                <w:b w:val="0"/>
                <w:i w:val="0"/>
                <w:color w:val="1B2A32"/>
                <w:sz w:val="17"/>
              </w:rPr>
              <w:t>Conflict-of-interest and disclosure procedure</w:t>
            </w:r>
          </w:p>
        </w:tc>
        <w:tc>
          <w:tcPr>
            <w:tcW w:type="dxa" w:w="3456"/>
            <w:shd w:val="clear" w:fill="F3F7F9"/>
          </w:tcPr>
          <w:p>
            <w:r/>
            <w:r>
              <w:rPr>
                <w:rFonts w:ascii="Calibri" w:hAnsi="Calibri"/>
                <w:b w:val="0"/>
                <w:i w:val="0"/>
                <w:color w:val="1B2A32"/>
                <w:sz w:val="17"/>
              </w:rPr>
              <w:t>Rules of Mediation; Form F-06</w:t>
            </w:r>
          </w:p>
        </w:tc>
        <w:tc>
          <w:tcPr>
            <w:tcW w:type="dxa" w:w="1008"/>
            <w:shd w:val="clear" w:fill="F3F7F9"/>
          </w:tcPr>
          <w:p>
            <w:r/>
          </w:p>
        </w:tc>
      </w:tr>
      <w:tr>
        <w:tc>
          <w:tcPr>
            <w:tcW w:type="dxa" w:w="720"/>
          </w:tcPr>
          <w:p>
            <w:r/>
            <w:r>
              <w:rPr>
                <w:rFonts w:ascii="Calibri" w:hAnsi="Calibri"/>
                <w:b w:val="0"/>
                <w:i w:val="0"/>
                <w:color w:val="1B2A32"/>
                <w:sz w:val="17"/>
              </w:rPr>
              <w:t>B7</w:t>
            </w:r>
          </w:p>
        </w:tc>
        <w:tc>
          <w:tcPr>
            <w:tcW w:type="dxa" w:w="4320"/>
          </w:tcPr>
          <w:p>
            <w:r/>
            <w:r>
              <w:rPr>
                <w:rFonts w:ascii="Calibri" w:hAnsi="Calibri"/>
                <w:b/>
                <w:i w:val="0"/>
                <w:color w:val="1B2A32"/>
                <w:sz w:val="17"/>
              </w:rPr>
              <w:t>Safety and suitability screening protocol</w:t>
            </w:r>
          </w:p>
        </w:tc>
        <w:tc>
          <w:tcPr>
            <w:tcW w:type="dxa" w:w="3456"/>
          </w:tcPr>
          <w:p>
            <w:r/>
            <w:r>
              <w:rPr>
                <w:rFonts w:ascii="Calibri" w:hAnsi="Calibri"/>
                <w:b w:val="0"/>
                <w:i w:val="0"/>
                <w:color w:val="1B2A32"/>
                <w:sz w:val="17"/>
              </w:rPr>
              <w:t>Rules of Mediation (condition precedent); Master Blueprint</w:t>
            </w:r>
          </w:p>
        </w:tc>
        <w:tc>
          <w:tcPr>
            <w:tcW w:type="dxa" w:w="1008"/>
          </w:tcPr>
          <w:p>
            <w:r/>
          </w:p>
        </w:tc>
      </w:tr>
      <w:tr>
        <w:tc>
          <w:tcPr>
            <w:tcW w:type="dxa" w:w="720"/>
            <w:shd w:val="clear" w:fill="F3F7F9"/>
          </w:tcPr>
          <w:p>
            <w:r/>
            <w:r>
              <w:rPr>
                <w:rFonts w:ascii="Calibri" w:hAnsi="Calibri"/>
                <w:b w:val="0"/>
                <w:i w:val="0"/>
                <w:color w:val="1B2A32"/>
                <w:sz w:val="17"/>
              </w:rPr>
              <w:t>B8</w:t>
            </w:r>
          </w:p>
        </w:tc>
        <w:tc>
          <w:tcPr>
            <w:tcW w:type="dxa" w:w="4320"/>
            <w:shd w:val="clear" w:fill="F3F7F9"/>
          </w:tcPr>
          <w:p>
            <w:r/>
            <w:r>
              <w:rPr>
                <w:rFonts w:ascii="Calibri" w:hAnsi="Calibri"/>
                <w:b w:val="0"/>
                <w:i w:val="0"/>
                <w:color w:val="1B2A32"/>
                <w:sz w:val="17"/>
              </w:rPr>
              <w:t>Child-welfare and child-inclusive mediation protocol</w:t>
            </w:r>
          </w:p>
        </w:tc>
        <w:tc>
          <w:tcPr>
            <w:tcW w:type="dxa" w:w="3456"/>
            <w:shd w:val="clear" w:fill="F3F7F9"/>
          </w:tcPr>
          <w:p>
            <w:r/>
            <w:r>
              <w:rPr>
                <w:rFonts w:ascii="Calibri" w:hAnsi="Calibri"/>
                <w:b w:val="0"/>
                <w:i w:val="0"/>
                <w:color w:val="1B2A32"/>
                <w:sz w:val="17"/>
              </w:rPr>
              <w:t>Master Blueprint; Curriculum Module 11</w:t>
            </w:r>
          </w:p>
        </w:tc>
        <w:tc>
          <w:tcPr>
            <w:tcW w:type="dxa" w:w="1008"/>
            <w:shd w:val="clear" w:fill="F3F7F9"/>
          </w:tcPr>
          <w:p>
            <w:r/>
          </w:p>
        </w:tc>
      </w:tr>
      <w:tr>
        <w:tc>
          <w:tcPr>
            <w:tcW w:type="dxa" w:w="720"/>
          </w:tcPr>
          <w:p>
            <w:r/>
            <w:r>
              <w:rPr>
                <w:rFonts w:ascii="Calibri" w:hAnsi="Calibri"/>
                <w:b w:val="0"/>
                <w:i w:val="0"/>
                <w:color w:val="1B2A32"/>
                <w:sz w:val="17"/>
              </w:rPr>
              <w:t>B9</w:t>
            </w:r>
          </w:p>
        </w:tc>
        <w:tc>
          <w:tcPr>
            <w:tcW w:type="dxa" w:w="4320"/>
          </w:tcPr>
          <w:p>
            <w:r/>
            <w:r>
              <w:rPr>
                <w:rFonts w:ascii="Calibri" w:hAnsi="Calibri"/>
                <w:b w:val="0"/>
                <w:i w:val="0"/>
                <w:color w:val="1B2A32"/>
                <w:sz w:val="17"/>
              </w:rPr>
              <w:t>Board resolutions adopting B1–B8</w:t>
            </w:r>
          </w:p>
        </w:tc>
        <w:tc>
          <w:tcPr>
            <w:tcW w:type="dxa" w:w="3456"/>
          </w:tcPr>
          <w:p>
            <w:r/>
            <w:r>
              <w:rPr>
                <w:rFonts w:ascii="Calibri" w:hAnsi="Calibri"/>
                <w:b w:val="0"/>
                <w:i w:val="0"/>
                <w:color w:val="1B2A32"/>
                <w:sz w:val="17"/>
              </w:rPr>
              <w:t>To be passed</w:t>
            </w:r>
          </w:p>
        </w:tc>
        <w:tc>
          <w:tcPr>
            <w:tcW w:type="dxa" w:w="1008"/>
          </w:tcPr>
          <w:p>
            <w:r/>
          </w:p>
        </w:tc>
      </w:tr>
    </w:tbl>
    <w:p>
      <w:pPr>
        <w:spacing w:after="40"/>
      </w:pPr>
    </w:p>
    <w:p>
      <w:pPr>
        <w:keepNext/>
        <w:spacing w:before="280" w:after="120"/>
        <w:pBdr>
          <w:bottom w:val="single" w:sz="12" w:space="3" w:color="C6A15B"/>
        </w:pBdr>
      </w:pPr>
      <w:r>
        <w:rPr>
          <w:rFonts w:ascii="Calibri" w:hAnsi="Calibri"/>
          <w:b/>
          <w:i w:val="0"/>
          <w:color w:val="123B4F"/>
          <w:sz w:val="32"/>
        </w:rPr>
        <w:t>3.  Part C — Panel and competence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720"/>
            <w:shd w:val="clear" w:fill="123B4F"/>
          </w:tcPr>
          <w:p>
            <w:r/>
            <w:r>
              <w:rPr>
                <w:rFonts w:ascii="Calibri" w:hAnsi="Calibri"/>
                <w:b/>
                <w:i w:val="0"/>
                <w:color w:val="FFFFFF"/>
                <w:sz w:val="17"/>
              </w:rPr>
              <w:t>#</w:t>
            </w:r>
          </w:p>
        </w:tc>
        <w:tc>
          <w:tcPr>
            <w:tcW w:type="dxa" w:w="4320"/>
            <w:shd w:val="clear" w:fill="123B4F"/>
          </w:tcPr>
          <w:p>
            <w:r/>
            <w:r>
              <w:rPr>
                <w:rFonts w:ascii="Calibri" w:hAnsi="Calibri"/>
                <w:b/>
                <w:i w:val="0"/>
                <w:color w:val="FFFFFF"/>
                <w:sz w:val="17"/>
              </w:rPr>
              <w:t>Document / evidence</w:t>
            </w:r>
          </w:p>
        </w:tc>
        <w:tc>
          <w:tcPr>
            <w:tcW w:type="dxa" w:w="3456"/>
            <w:shd w:val="clear" w:fill="123B4F"/>
          </w:tcPr>
          <w:p>
            <w:r/>
            <w:r>
              <w:rPr>
                <w:rFonts w:ascii="Calibri" w:hAnsi="Calibri"/>
                <w:b/>
                <w:i w:val="0"/>
                <w:color w:val="FFFFFF"/>
                <w:sz w:val="17"/>
              </w:rPr>
              <w:t>Where it exists today</w:t>
            </w:r>
          </w:p>
        </w:tc>
        <w:tc>
          <w:tcPr>
            <w:tcW w:type="dxa" w:w="1008"/>
            <w:shd w:val="clear" w:fill="123B4F"/>
          </w:tcPr>
          <w:p>
            <w:r/>
            <w:r>
              <w:rPr>
                <w:rFonts w:ascii="Calibri" w:hAnsi="Calibri"/>
                <w:b/>
                <w:i w:val="0"/>
                <w:color w:val="FFFFFF"/>
                <w:sz w:val="17"/>
              </w:rPr>
              <w:t>Status</w:t>
            </w:r>
          </w:p>
        </w:tc>
      </w:tr>
      <w:tr>
        <w:tc>
          <w:tcPr>
            <w:tcW w:type="dxa" w:w="720"/>
          </w:tcPr>
          <w:p>
            <w:r/>
            <w:r>
              <w:rPr>
                <w:rFonts w:ascii="Calibri" w:hAnsi="Calibri"/>
                <w:b w:val="0"/>
                <w:i w:val="0"/>
                <w:color w:val="1B2A32"/>
                <w:sz w:val="17"/>
              </w:rPr>
              <w:t>C1</w:t>
            </w:r>
          </w:p>
        </w:tc>
        <w:tc>
          <w:tcPr>
            <w:tcW w:type="dxa" w:w="4320"/>
          </w:tcPr>
          <w:p>
            <w:r/>
            <w:r>
              <w:rPr>
                <w:rFonts w:ascii="Calibri" w:hAnsi="Calibri"/>
                <w:b/>
                <w:i w:val="0"/>
                <w:color w:val="1B2A32"/>
                <w:sz w:val="17"/>
              </w:rPr>
              <w:t>Panel register</w:t>
            </w:r>
            <w:r>
              <w:rPr>
                <w:rFonts w:ascii="Calibri" w:hAnsi="Calibri"/>
                <w:b w:val="0"/>
                <w:i w:val="0"/>
                <w:color w:val="1B2A32"/>
                <w:sz w:val="17"/>
              </w:rPr>
              <w:t xml:space="preserve"> — names, grades, specialisms, languages, status</w:t>
            </w:r>
          </w:p>
        </w:tc>
        <w:tc>
          <w:tcPr>
            <w:tcW w:type="dxa" w:w="3456"/>
          </w:tcPr>
          <w:p>
            <w:r/>
            <w:r>
              <w:rPr>
                <w:rFonts w:ascii="Calibri" w:hAnsi="Calibri"/>
                <w:b w:val="0"/>
                <w:i w:val="0"/>
                <w:color w:val="1B2A32"/>
                <w:sz w:val="17"/>
              </w:rPr>
              <w:t>Platform panel register</w:t>
            </w:r>
          </w:p>
        </w:tc>
        <w:tc>
          <w:tcPr>
            <w:tcW w:type="dxa" w:w="1008"/>
          </w:tcPr>
          <w:p>
            <w:r/>
          </w:p>
        </w:tc>
      </w:tr>
      <w:tr>
        <w:tc>
          <w:tcPr>
            <w:tcW w:type="dxa" w:w="720"/>
            <w:shd w:val="clear" w:fill="F3F7F9"/>
          </w:tcPr>
          <w:p>
            <w:r/>
            <w:r>
              <w:rPr>
                <w:rFonts w:ascii="Calibri" w:hAnsi="Calibri"/>
                <w:b w:val="0"/>
                <w:i w:val="0"/>
                <w:color w:val="1B2A32"/>
                <w:sz w:val="17"/>
              </w:rPr>
              <w:t>C2</w:t>
            </w:r>
          </w:p>
        </w:tc>
        <w:tc>
          <w:tcPr>
            <w:tcW w:type="dxa" w:w="4320"/>
            <w:shd w:val="clear" w:fill="F3F7F9"/>
          </w:tcPr>
          <w:p>
            <w:r/>
            <w:r>
              <w:rPr>
                <w:rFonts w:ascii="Calibri" w:hAnsi="Calibri"/>
                <w:b w:val="0"/>
                <w:i w:val="0"/>
                <w:color w:val="1B2A32"/>
                <w:sz w:val="17"/>
              </w:rPr>
              <w:t>Mediator qualification and training certificates</w:t>
            </w:r>
          </w:p>
        </w:tc>
        <w:tc>
          <w:tcPr>
            <w:tcW w:type="dxa" w:w="3456"/>
            <w:shd w:val="clear" w:fill="F3F7F9"/>
          </w:tcPr>
          <w:p>
            <w:r/>
            <w:r>
              <w:rPr>
                <w:rFonts w:ascii="Calibri" w:hAnsi="Calibri"/>
                <w:b w:val="0"/>
                <w:i w:val="0"/>
                <w:color w:val="1B2A32"/>
                <w:sz w:val="17"/>
              </w:rPr>
              <w:t>Panel files</w:t>
            </w:r>
          </w:p>
        </w:tc>
        <w:tc>
          <w:tcPr>
            <w:tcW w:type="dxa" w:w="1008"/>
            <w:shd w:val="clear" w:fill="F3F7F9"/>
          </w:tcPr>
          <w:p>
            <w:r/>
          </w:p>
        </w:tc>
      </w:tr>
      <w:tr>
        <w:tc>
          <w:tcPr>
            <w:tcW w:type="dxa" w:w="720"/>
          </w:tcPr>
          <w:p>
            <w:r/>
            <w:r>
              <w:rPr>
                <w:rFonts w:ascii="Calibri" w:hAnsi="Calibri"/>
                <w:b w:val="0"/>
                <w:i w:val="0"/>
                <w:color w:val="1B2A32"/>
                <w:sz w:val="17"/>
              </w:rPr>
              <w:t>C3</w:t>
            </w:r>
          </w:p>
        </w:tc>
        <w:tc>
          <w:tcPr>
            <w:tcW w:type="dxa" w:w="4320"/>
          </w:tcPr>
          <w:p>
            <w:r/>
            <w:r>
              <w:rPr>
                <w:rFonts w:ascii="Calibri" w:hAnsi="Calibri"/>
                <w:b/>
                <w:i w:val="0"/>
                <w:color w:val="1B2A32"/>
                <w:sz w:val="17"/>
              </w:rPr>
              <w:t>Training curriculum and assessment</w:t>
            </w:r>
            <w:r>
              <w:rPr>
                <w:rFonts w:ascii="Calibri" w:hAnsi="Calibri"/>
                <w:b w:val="0"/>
                <w:i w:val="0"/>
                <w:color w:val="1B2A32"/>
                <w:sz w:val="17"/>
              </w:rPr>
              <w:t xml:space="preserve"> (ECFM), incl. hours</w:t>
            </w:r>
          </w:p>
        </w:tc>
        <w:tc>
          <w:tcPr>
            <w:tcW w:type="dxa" w:w="3456"/>
          </w:tcPr>
          <w:p>
            <w:r/>
            <w:r>
              <w:rPr>
                <w:rFonts w:ascii="Calibri" w:hAnsi="Calibri"/>
                <w:b w:val="0"/>
                <w:i w:val="0"/>
                <w:color w:val="1B2A32"/>
                <w:sz w:val="17"/>
              </w:rPr>
              <w:t>13 Launch Pack — ECFM Curriculum</w:t>
            </w:r>
          </w:p>
        </w:tc>
        <w:tc>
          <w:tcPr>
            <w:tcW w:type="dxa" w:w="1008"/>
          </w:tcPr>
          <w:p>
            <w:r/>
          </w:p>
        </w:tc>
      </w:tr>
      <w:tr>
        <w:tc>
          <w:tcPr>
            <w:tcW w:type="dxa" w:w="720"/>
            <w:shd w:val="clear" w:fill="F3F7F9"/>
          </w:tcPr>
          <w:p>
            <w:r/>
            <w:r>
              <w:rPr>
                <w:rFonts w:ascii="Calibri" w:hAnsi="Calibri"/>
                <w:b w:val="0"/>
                <w:i w:val="0"/>
                <w:color w:val="1B2A32"/>
                <w:sz w:val="17"/>
              </w:rPr>
              <w:t>C4</w:t>
            </w:r>
          </w:p>
        </w:tc>
        <w:tc>
          <w:tcPr>
            <w:tcW w:type="dxa" w:w="4320"/>
            <w:shd w:val="clear" w:fill="F3F7F9"/>
          </w:tcPr>
          <w:p>
            <w:r/>
            <w:r>
              <w:rPr>
                <w:rFonts w:ascii="Calibri" w:hAnsi="Calibri"/>
                <w:b/>
                <w:i w:val="0"/>
                <w:color w:val="1B2A32"/>
                <w:sz w:val="17"/>
              </w:rPr>
              <w:t>CPD framework</w:t>
            </w:r>
            <w:r>
              <w:rPr>
                <w:rFonts w:ascii="Calibri" w:hAnsi="Calibri"/>
                <w:b w:val="0"/>
                <w:i w:val="0"/>
                <w:color w:val="1B2A32"/>
                <w:sz w:val="17"/>
              </w:rPr>
              <w:t xml:space="preserve"> and current compliance records</w:t>
            </w:r>
          </w:p>
        </w:tc>
        <w:tc>
          <w:tcPr>
            <w:tcW w:type="dxa" w:w="3456"/>
            <w:shd w:val="clear" w:fill="F3F7F9"/>
          </w:tcPr>
          <w:p>
            <w:r/>
            <w:r>
              <w:rPr>
                <w:rFonts w:ascii="Calibri" w:hAnsi="Calibri"/>
                <w:b w:val="0"/>
                <w:i w:val="0"/>
                <w:color w:val="1B2A32"/>
                <w:sz w:val="17"/>
              </w:rPr>
              <w:t>ECFM Curriculum; panel files</w:t>
            </w:r>
          </w:p>
        </w:tc>
        <w:tc>
          <w:tcPr>
            <w:tcW w:type="dxa" w:w="1008"/>
            <w:shd w:val="clear" w:fill="F3F7F9"/>
          </w:tcPr>
          <w:p>
            <w:r/>
          </w:p>
        </w:tc>
      </w:tr>
      <w:tr>
        <w:tc>
          <w:tcPr>
            <w:tcW w:type="dxa" w:w="720"/>
          </w:tcPr>
          <w:p>
            <w:r/>
            <w:r>
              <w:rPr>
                <w:rFonts w:ascii="Calibri" w:hAnsi="Calibri"/>
                <w:b w:val="0"/>
                <w:i w:val="0"/>
                <w:color w:val="1B2A32"/>
                <w:sz w:val="17"/>
              </w:rPr>
              <w:t>C5</w:t>
            </w:r>
          </w:p>
        </w:tc>
        <w:tc>
          <w:tcPr>
            <w:tcW w:type="dxa" w:w="4320"/>
          </w:tcPr>
          <w:p>
            <w:r/>
            <w:r>
              <w:rPr>
                <w:rFonts w:ascii="Calibri" w:hAnsi="Calibri"/>
                <w:b w:val="0"/>
                <w:i w:val="0"/>
                <w:color w:val="1B2A32"/>
                <w:sz w:val="17"/>
              </w:rPr>
              <w:t>Specialist endorsements (domestic-abuse aware; child-inclusive)</w:t>
            </w:r>
          </w:p>
        </w:tc>
        <w:tc>
          <w:tcPr>
            <w:tcW w:type="dxa" w:w="3456"/>
          </w:tcPr>
          <w:p>
            <w:r/>
            <w:r>
              <w:rPr>
                <w:rFonts w:ascii="Calibri" w:hAnsi="Calibri"/>
                <w:b w:val="0"/>
                <w:i w:val="0"/>
                <w:color w:val="1B2A32"/>
                <w:sz w:val="17"/>
              </w:rPr>
              <w:t>ECFM Curriculum</w:t>
            </w:r>
          </w:p>
        </w:tc>
        <w:tc>
          <w:tcPr>
            <w:tcW w:type="dxa" w:w="1008"/>
          </w:tcPr>
          <w:p>
            <w:r/>
          </w:p>
        </w:tc>
      </w:tr>
      <w:tr>
        <w:tc>
          <w:tcPr>
            <w:tcW w:type="dxa" w:w="720"/>
            <w:shd w:val="clear" w:fill="F3F7F9"/>
          </w:tcPr>
          <w:p>
            <w:r/>
            <w:r>
              <w:rPr>
                <w:rFonts w:ascii="Calibri" w:hAnsi="Calibri"/>
                <w:b w:val="0"/>
                <w:i w:val="0"/>
                <w:color w:val="1B2A32"/>
                <w:sz w:val="17"/>
              </w:rPr>
              <w:t>C6</w:t>
            </w:r>
          </w:p>
        </w:tc>
        <w:tc>
          <w:tcPr>
            <w:tcW w:type="dxa" w:w="4320"/>
            <w:shd w:val="clear" w:fill="F3F7F9"/>
          </w:tcPr>
          <w:p>
            <w:r/>
            <w:r>
              <w:rPr>
                <w:rFonts w:ascii="Calibri" w:hAnsi="Calibri"/>
                <w:b w:val="0"/>
                <w:i w:val="0"/>
                <w:color w:val="1B2A32"/>
                <w:sz w:val="17"/>
              </w:rPr>
              <w:t>Signed Code of Conduct and confidentiality undertakings</w:t>
            </w:r>
          </w:p>
        </w:tc>
        <w:tc>
          <w:tcPr>
            <w:tcW w:type="dxa" w:w="3456"/>
            <w:shd w:val="clear" w:fill="F3F7F9"/>
          </w:tcPr>
          <w:p>
            <w:r/>
            <w:r>
              <w:rPr>
                <w:rFonts w:ascii="Calibri" w:hAnsi="Calibri"/>
                <w:b w:val="0"/>
                <w:i w:val="0"/>
                <w:color w:val="1B2A32"/>
                <w:sz w:val="17"/>
              </w:rPr>
              <w:t>Panel files</w:t>
            </w:r>
          </w:p>
        </w:tc>
        <w:tc>
          <w:tcPr>
            <w:tcW w:type="dxa" w:w="1008"/>
            <w:shd w:val="clear" w:fill="F3F7F9"/>
          </w:tcPr>
          <w:p>
            <w:r/>
          </w:p>
        </w:tc>
      </w:tr>
      <w:tr>
        <w:tc>
          <w:tcPr>
            <w:tcW w:type="dxa" w:w="720"/>
          </w:tcPr>
          <w:p>
            <w:r/>
            <w:r>
              <w:rPr>
                <w:rFonts w:ascii="Calibri" w:hAnsi="Calibri"/>
                <w:b w:val="0"/>
                <w:i w:val="0"/>
                <w:color w:val="1B2A32"/>
                <w:sz w:val="17"/>
              </w:rPr>
              <w:t>C7</w:t>
            </w:r>
          </w:p>
        </w:tc>
        <w:tc>
          <w:tcPr>
            <w:tcW w:type="dxa" w:w="4320"/>
          </w:tcPr>
          <w:p>
            <w:r/>
            <w:r>
              <w:rPr>
                <w:rFonts w:ascii="Calibri" w:hAnsi="Calibri"/>
                <w:b w:val="0"/>
                <w:i w:val="0"/>
                <w:color w:val="1B2A32"/>
                <w:sz w:val="17"/>
              </w:rPr>
              <w:t>Supervision and probationary-practice records</w:t>
            </w:r>
          </w:p>
        </w:tc>
        <w:tc>
          <w:tcPr>
            <w:tcW w:type="dxa" w:w="3456"/>
          </w:tcPr>
          <w:p>
            <w:r/>
            <w:r>
              <w:rPr>
                <w:rFonts w:ascii="Calibri" w:hAnsi="Calibri"/>
                <w:b w:val="0"/>
                <w:i w:val="0"/>
                <w:color w:val="1B2A32"/>
                <w:sz w:val="17"/>
              </w:rPr>
              <w:t>Panel files</w:t>
            </w:r>
          </w:p>
        </w:tc>
        <w:tc>
          <w:tcPr>
            <w:tcW w:type="dxa" w:w="1008"/>
          </w:tcPr>
          <w:p>
            <w:r/>
          </w:p>
        </w:tc>
      </w:tr>
      <w:tr>
        <w:tc>
          <w:tcPr>
            <w:tcW w:type="dxa" w:w="720"/>
            <w:shd w:val="clear" w:fill="F3F7F9"/>
          </w:tcPr>
          <w:p>
            <w:r/>
            <w:r>
              <w:rPr>
                <w:rFonts w:ascii="Calibri" w:hAnsi="Calibri"/>
                <w:b w:val="0"/>
                <w:i w:val="0"/>
                <w:color w:val="1B2A32"/>
                <w:sz w:val="17"/>
              </w:rPr>
              <w:t>C8</w:t>
            </w:r>
          </w:p>
        </w:tc>
        <w:tc>
          <w:tcPr>
            <w:tcW w:type="dxa" w:w="4320"/>
            <w:shd w:val="clear" w:fill="F3F7F9"/>
          </w:tcPr>
          <w:p>
            <w:r/>
            <w:r>
              <w:rPr>
                <w:rFonts w:ascii="Calibri" w:hAnsi="Calibri"/>
                <w:b w:val="0"/>
                <w:i w:val="0"/>
                <w:color w:val="1B2A32"/>
                <w:sz w:val="17"/>
              </w:rPr>
              <w:t>Diversity of the panel — gender, language, region</w:t>
            </w:r>
          </w:p>
        </w:tc>
        <w:tc>
          <w:tcPr>
            <w:tcW w:type="dxa" w:w="3456"/>
            <w:shd w:val="clear" w:fill="F3F7F9"/>
          </w:tcPr>
          <w:p>
            <w:r/>
            <w:r>
              <w:rPr>
                <w:rFonts w:ascii="Calibri" w:hAnsi="Calibri"/>
                <w:b w:val="0"/>
                <w:i w:val="0"/>
                <w:color w:val="1B2A32"/>
                <w:sz w:val="17"/>
              </w:rPr>
              <w:t>Panel register</w:t>
            </w:r>
          </w:p>
        </w:tc>
        <w:tc>
          <w:tcPr>
            <w:tcW w:type="dxa" w:w="1008"/>
            <w:shd w:val="clear" w:fill="F3F7F9"/>
          </w:tcPr>
          <w:p>
            <w:r/>
          </w:p>
        </w:tc>
      </w:tr>
    </w:tbl>
    <w:p>
      <w:pPr>
        <w:spacing w:after="40"/>
      </w:pPr>
    </w:p>
    <w:p>
      <w:pPr>
        <w:keepNext/>
        <w:spacing w:before="280" w:after="120"/>
        <w:pBdr>
          <w:bottom w:val="single" w:sz="12" w:space="3" w:color="C6A15B"/>
        </w:pBdr>
      </w:pPr>
      <w:r>
        <w:rPr>
          <w:rFonts w:ascii="Calibri" w:hAnsi="Calibri"/>
          <w:b/>
          <w:i w:val="0"/>
          <w:color w:val="123B4F"/>
          <w:sz w:val="32"/>
        </w:rPr>
        <w:t>4.  Part D — Process, technology and records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720"/>
            <w:shd w:val="clear" w:fill="123B4F"/>
          </w:tcPr>
          <w:p>
            <w:r/>
            <w:r>
              <w:rPr>
                <w:rFonts w:ascii="Calibri" w:hAnsi="Calibri"/>
                <w:b/>
                <w:i w:val="0"/>
                <w:color w:val="FFFFFF"/>
                <w:sz w:val="17"/>
              </w:rPr>
              <w:t>#</w:t>
            </w:r>
          </w:p>
        </w:tc>
        <w:tc>
          <w:tcPr>
            <w:tcW w:type="dxa" w:w="4320"/>
            <w:shd w:val="clear" w:fill="123B4F"/>
          </w:tcPr>
          <w:p>
            <w:r/>
            <w:r>
              <w:rPr>
                <w:rFonts w:ascii="Calibri" w:hAnsi="Calibri"/>
                <w:b/>
                <w:i w:val="0"/>
                <w:color w:val="FFFFFF"/>
                <w:sz w:val="17"/>
              </w:rPr>
              <w:t>Document / evidence</w:t>
            </w:r>
          </w:p>
        </w:tc>
        <w:tc>
          <w:tcPr>
            <w:tcW w:type="dxa" w:w="3456"/>
            <w:shd w:val="clear" w:fill="123B4F"/>
          </w:tcPr>
          <w:p>
            <w:r/>
            <w:r>
              <w:rPr>
                <w:rFonts w:ascii="Calibri" w:hAnsi="Calibri"/>
                <w:b/>
                <w:i w:val="0"/>
                <w:color w:val="FFFFFF"/>
                <w:sz w:val="17"/>
              </w:rPr>
              <w:t>Where it exists today</w:t>
            </w:r>
          </w:p>
        </w:tc>
        <w:tc>
          <w:tcPr>
            <w:tcW w:type="dxa" w:w="1008"/>
            <w:shd w:val="clear" w:fill="123B4F"/>
          </w:tcPr>
          <w:p>
            <w:r/>
            <w:r>
              <w:rPr>
                <w:rFonts w:ascii="Calibri" w:hAnsi="Calibri"/>
                <w:b/>
                <w:i w:val="0"/>
                <w:color w:val="FFFFFF"/>
                <w:sz w:val="17"/>
              </w:rPr>
              <w:t>Status</w:t>
            </w:r>
          </w:p>
        </w:tc>
      </w:tr>
      <w:tr>
        <w:tc>
          <w:tcPr>
            <w:tcW w:type="dxa" w:w="720"/>
          </w:tcPr>
          <w:p>
            <w:r/>
            <w:r>
              <w:rPr>
                <w:rFonts w:ascii="Calibri" w:hAnsi="Calibri"/>
                <w:b w:val="0"/>
                <w:i w:val="0"/>
                <w:color w:val="1B2A32"/>
                <w:sz w:val="17"/>
              </w:rPr>
              <w:t>D1</w:t>
            </w:r>
          </w:p>
        </w:tc>
        <w:tc>
          <w:tcPr>
            <w:tcW w:type="dxa" w:w="4320"/>
          </w:tcPr>
          <w:p>
            <w:r/>
            <w:r>
              <w:rPr>
                <w:rFonts w:ascii="Calibri" w:hAnsi="Calibri"/>
                <w:b w:val="0"/>
                <w:i w:val="0"/>
                <w:color w:val="1B2A32"/>
                <w:sz w:val="17"/>
              </w:rPr>
              <w:t>Case-management process and workflow states</w:t>
            </w:r>
          </w:p>
        </w:tc>
        <w:tc>
          <w:tcPr>
            <w:tcW w:type="dxa" w:w="3456"/>
          </w:tcPr>
          <w:p>
            <w:r/>
            <w:r>
              <w:rPr>
                <w:rFonts w:ascii="Calibri" w:hAnsi="Calibri"/>
                <w:b w:val="0"/>
                <w:i w:val="0"/>
                <w:color w:val="1B2A32"/>
                <w:sz w:val="17"/>
              </w:rPr>
              <w:t>Master Blueprint; Developer Handoff</w:t>
            </w:r>
          </w:p>
        </w:tc>
        <w:tc>
          <w:tcPr>
            <w:tcW w:type="dxa" w:w="1008"/>
          </w:tcPr>
          <w:p>
            <w:r/>
          </w:p>
        </w:tc>
      </w:tr>
      <w:tr>
        <w:tc>
          <w:tcPr>
            <w:tcW w:type="dxa" w:w="720"/>
            <w:shd w:val="clear" w:fill="F3F7F9"/>
          </w:tcPr>
          <w:p>
            <w:r/>
            <w:r>
              <w:rPr>
                <w:rFonts w:ascii="Calibri" w:hAnsi="Calibri"/>
                <w:b w:val="0"/>
                <w:i w:val="0"/>
                <w:color w:val="1B2A32"/>
                <w:sz w:val="17"/>
              </w:rPr>
              <w:t>D2</w:t>
            </w:r>
          </w:p>
        </w:tc>
        <w:tc>
          <w:tcPr>
            <w:tcW w:type="dxa" w:w="4320"/>
            <w:shd w:val="clear" w:fill="F3F7F9"/>
          </w:tcPr>
          <w:p>
            <w:r/>
            <w:r>
              <w:rPr>
                <w:rFonts w:ascii="Calibri" w:hAnsi="Calibri"/>
                <w:b w:val="0"/>
                <w:i w:val="0"/>
                <w:color w:val="1B2A32"/>
                <w:sz w:val="17"/>
              </w:rPr>
              <w:t>Standard forms set (F-01 to F-29)</w:t>
            </w:r>
          </w:p>
        </w:tc>
        <w:tc>
          <w:tcPr>
            <w:tcW w:type="dxa" w:w="3456"/>
            <w:shd w:val="clear" w:fill="F3F7F9"/>
          </w:tcPr>
          <w:p>
            <w:r/>
            <w:r>
              <w:rPr>
                <w:rFonts w:ascii="Calibri" w:hAnsi="Calibri"/>
                <w:b w:val="0"/>
                <w:i w:val="0"/>
                <w:color w:val="1B2A32"/>
                <w:sz w:val="17"/>
              </w:rPr>
              <w:t>04 Archive — Forms Pack; Blueprint Part H</w:t>
            </w:r>
          </w:p>
        </w:tc>
        <w:tc>
          <w:tcPr>
            <w:tcW w:type="dxa" w:w="1008"/>
            <w:shd w:val="clear" w:fill="F3F7F9"/>
          </w:tcPr>
          <w:p>
            <w:r/>
          </w:p>
        </w:tc>
      </w:tr>
      <w:tr>
        <w:tc>
          <w:tcPr>
            <w:tcW w:type="dxa" w:w="720"/>
          </w:tcPr>
          <w:p>
            <w:r/>
            <w:r>
              <w:rPr>
                <w:rFonts w:ascii="Calibri" w:hAnsi="Calibri"/>
                <w:b w:val="0"/>
                <w:i w:val="0"/>
                <w:color w:val="1B2A32"/>
                <w:sz w:val="17"/>
              </w:rPr>
              <w:t>D3</w:t>
            </w:r>
          </w:p>
        </w:tc>
        <w:tc>
          <w:tcPr>
            <w:tcW w:type="dxa" w:w="4320"/>
          </w:tcPr>
          <w:p>
            <w:r/>
            <w:r>
              <w:rPr>
                <w:rFonts w:ascii="Calibri" w:hAnsi="Calibri"/>
                <w:b/>
                <w:i w:val="0"/>
                <w:color w:val="1B2A32"/>
                <w:sz w:val="17"/>
              </w:rPr>
              <w:t>Settlement (MSA) template</w:t>
            </w:r>
            <w:r>
              <w:rPr>
                <w:rFonts w:ascii="Calibri" w:hAnsi="Calibri"/>
                <w:b w:val="0"/>
                <w:i w:val="0"/>
                <w:color w:val="1B2A32"/>
                <w:sz w:val="17"/>
              </w:rPr>
              <w:t>, registration and enforceability workflow</w:t>
            </w:r>
          </w:p>
        </w:tc>
        <w:tc>
          <w:tcPr>
            <w:tcW w:type="dxa" w:w="3456"/>
          </w:tcPr>
          <w:p>
            <w:r/>
            <w:r>
              <w:rPr>
                <w:rFonts w:ascii="Calibri" w:hAnsi="Calibri"/>
                <w:b w:val="0"/>
                <w:i w:val="0"/>
                <w:color w:val="1B2A32"/>
                <w:sz w:val="17"/>
              </w:rPr>
              <w:t>Forms; Blueprint; s.20/s.27 workflow</w:t>
            </w:r>
          </w:p>
        </w:tc>
        <w:tc>
          <w:tcPr>
            <w:tcW w:type="dxa" w:w="1008"/>
          </w:tcPr>
          <w:p>
            <w:r/>
          </w:p>
        </w:tc>
      </w:tr>
      <w:tr>
        <w:tc>
          <w:tcPr>
            <w:tcW w:type="dxa" w:w="720"/>
            <w:shd w:val="clear" w:fill="F3F7F9"/>
          </w:tcPr>
          <w:p>
            <w:r/>
            <w:r>
              <w:rPr>
                <w:rFonts w:ascii="Calibri" w:hAnsi="Calibri"/>
                <w:b w:val="0"/>
                <w:i w:val="0"/>
                <w:color w:val="1B2A32"/>
                <w:sz w:val="17"/>
              </w:rPr>
              <w:t>D4</w:t>
            </w:r>
          </w:p>
        </w:tc>
        <w:tc>
          <w:tcPr>
            <w:tcW w:type="dxa" w:w="4320"/>
            <w:shd w:val="clear" w:fill="F3F7F9"/>
          </w:tcPr>
          <w:p>
            <w:r/>
            <w:r>
              <w:rPr>
                <w:rFonts w:ascii="Calibri" w:hAnsi="Calibri"/>
                <w:b w:val="0"/>
                <w:i w:val="0"/>
                <w:color w:val="1B2A32"/>
                <w:sz w:val="17"/>
              </w:rPr>
              <w:t>Confidentiality controls, including sealed caucus material</w:t>
            </w:r>
          </w:p>
        </w:tc>
        <w:tc>
          <w:tcPr>
            <w:tcW w:type="dxa" w:w="3456"/>
            <w:shd w:val="clear" w:fill="F3F7F9"/>
          </w:tcPr>
          <w:p>
            <w:r/>
            <w:r>
              <w:rPr>
                <w:rFonts w:ascii="Calibri" w:hAnsi="Calibri"/>
                <w:b w:val="0"/>
                <w:i w:val="0"/>
                <w:color w:val="1B2A32"/>
                <w:sz w:val="17"/>
              </w:rPr>
              <w:t>Technical Architecture; schema_fam.sql</w:t>
            </w:r>
          </w:p>
        </w:tc>
        <w:tc>
          <w:tcPr>
            <w:tcW w:type="dxa" w:w="1008"/>
            <w:shd w:val="clear" w:fill="F3F7F9"/>
          </w:tcPr>
          <w:p>
            <w:r/>
          </w:p>
        </w:tc>
      </w:tr>
      <w:tr>
        <w:tc>
          <w:tcPr>
            <w:tcW w:type="dxa" w:w="720"/>
          </w:tcPr>
          <w:p>
            <w:r/>
            <w:r>
              <w:rPr>
                <w:rFonts w:ascii="Calibri" w:hAnsi="Calibri"/>
                <w:b w:val="0"/>
                <w:i w:val="0"/>
                <w:color w:val="1B2A32"/>
                <w:sz w:val="17"/>
              </w:rPr>
              <w:t>D5</w:t>
            </w:r>
          </w:p>
        </w:tc>
        <w:tc>
          <w:tcPr>
            <w:tcW w:type="dxa" w:w="4320"/>
          </w:tcPr>
          <w:p>
            <w:r/>
            <w:r>
              <w:rPr>
                <w:rFonts w:ascii="Calibri" w:hAnsi="Calibri"/>
                <w:b/>
                <w:i w:val="0"/>
                <w:color w:val="1B2A32"/>
                <w:sz w:val="17"/>
              </w:rPr>
              <w:t>Register of cases and settlements</w:t>
            </w:r>
            <w:r>
              <w:rPr>
                <w:rFonts w:ascii="Calibri" w:hAnsi="Calibri"/>
                <w:b w:val="0"/>
                <w:i w:val="0"/>
                <w:color w:val="1B2A32"/>
                <w:sz w:val="17"/>
              </w:rPr>
              <w:t xml:space="preserve"> maintained by the Registrar</w:t>
            </w:r>
          </w:p>
        </w:tc>
        <w:tc>
          <w:tcPr>
            <w:tcW w:type="dxa" w:w="3456"/>
          </w:tcPr>
          <w:p>
            <w:r/>
            <w:r>
              <w:rPr>
                <w:rFonts w:ascii="Calibri" w:hAnsi="Calibri"/>
                <w:b w:val="0"/>
                <w:i w:val="0"/>
                <w:color w:val="1B2A32"/>
                <w:sz w:val="17"/>
              </w:rPr>
              <w:t>Platform</w:t>
            </w:r>
          </w:p>
        </w:tc>
        <w:tc>
          <w:tcPr>
            <w:tcW w:type="dxa" w:w="1008"/>
          </w:tcPr>
          <w:p>
            <w:r/>
          </w:p>
        </w:tc>
      </w:tr>
      <w:tr>
        <w:tc>
          <w:tcPr>
            <w:tcW w:type="dxa" w:w="720"/>
            <w:shd w:val="clear" w:fill="F3F7F9"/>
          </w:tcPr>
          <w:p>
            <w:r/>
            <w:r>
              <w:rPr>
                <w:rFonts w:ascii="Calibri" w:hAnsi="Calibri"/>
                <w:b w:val="0"/>
                <w:i w:val="0"/>
                <w:color w:val="1B2A32"/>
                <w:sz w:val="17"/>
              </w:rPr>
              <w:t>D6</w:t>
            </w:r>
          </w:p>
        </w:tc>
        <w:tc>
          <w:tcPr>
            <w:tcW w:type="dxa" w:w="4320"/>
            <w:shd w:val="clear" w:fill="F3F7F9"/>
          </w:tcPr>
          <w:p>
            <w:r/>
            <w:r>
              <w:rPr>
                <w:rFonts w:ascii="Calibri" w:hAnsi="Calibri"/>
                <w:b w:val="0"/>
                <w:i w:val="0"/>
                <w:color w:val="1B2A32"/>
                <w:sz w:val="17"/>
              </w:rPr>
              <w:t>Data-protection compliance — notice, consent, DPIA, retention</w:t>
            </w:r>
          </w:p>
        </w:tc>
        <w:tc>
          <w:tcPr>
            <w:tcW w:type="dxa" w:w="3456"/>
            <w:shd w:val="clear" w:fill="F3F7F9"/>
          </w:tcPr>
          <w:p>
            <w:r/>
            <w:r>
              <w:rPr>
                <w:rFonts w:ascii="Calibri" w:hAnsi="Calibri"/>
                <w:b w:val="0"/>
                <w:i w:val="0"/>
                <w:color w:val="1B2A32"/>
                <w:sz w:val="17"/>
              </w:rPr>
              <w:t>Privacy Policy; Compliance Workbook</w:t>
            </w:r>
          </w:p>
        </w:tc>
        <w:tc>
          <w:tcPr>
            <w:tcW w:type="dxa" w:w="1008"/>
            <w:shd w:val="clear" w:fill="F3F7F9"/>
          </w:tcPr>
          <w:p>
            <w:r/>
          </w:p>
        </w:tc>
      </w:tr>
      <w:tr>
        <w:tc>
          <w:tcPr>
            <w:tcW w:type="dxa" w:w="720"/>
          </w:tcPr>
          <w:p>
            <w:r/>
            <w:r>
              <w:rPr>
                <w:rFonts w:ascii="Calibri" w:hAnsi="Calibri"/>
                <w:b w:val="0"/>
                <w:i w:val="0"/>
                <w:color w:val="1B2A32"/>
                <w:sz w:val="17"/>
              </w:rPr>
              <w:t>D7</w:t>
            </w:r>
          </w:p>
        </w:tc>
        <w:tc>
          <w:tcPr>
            <w:tcW w:type="dxa" w:w="4320"/>
          </w:tcPr>
          <w:p>
            <w:r/>
            <w:r>
              <w:rPr>
                <w:rFonts w:ascii="Calibri" w:hAnsi="Calibri"/>
                <w:b w:val="0"/>
                <w:i w:val="0"/>
                <w:color w:val="1B2A32"/>
                <w:sz w:val="17"/>
              </w:rPr>
              <w:t>Information-security evidence — controls, testing, incident runbook</w:t>
            </w:r>
          </w:p>
        </w:tc>
        <w:tc>
          <w:tcPr>
            <w:tcW w:type="dxa" w:w="3456"/>
          </w:tcPr>
          <w:p>
            <w:r/>
            <w:r>
              <w:rPr>
                <w:rFonts w:ascii="Calibri" w:hAnsi="Calibri"/>
                <w:b w:val="0"/>
                <w:i w:val="0"/>
                <w:color w:val="1B2A32"/>
                <w:sz w:val="17"/>
              </w:rPr>
              <w:t>Compliance &amp; Security Workbook</w:t>
            </w:r>
          </w:p>
        </w:tc>
        <w:tc>
          <w:tcPr>
            <w:tcW w:type="dxa" w:w="1008"/>
          </w:tcPr>
          <w:p>
            <w:r/>
          </w:p>
        </w:tc>
      </w:tr>
      <w:tr>
        <w:tc>
          <w:tcPr>
            <w:tcW w:type="dxa" w:w="720"/>
            <w:shd w:val="clear" w:fill="F3F7F9"/>
          </w:tcPr>
          <w:p>
            <w:r/>
            <w:r>
              <w:rPr>
                <w:rFonts w:ascii="Calibri" w:hAnsi="Calibri"/>
                <w:b w:val="0"/>
                <w:i w:val="0"/>
                <w:color w:val="1B2A32"/>
                <w:sz w:val="17"/>
              </w:rPr>
              <w:t>D8</w:t>
            </w:r>
          </w:p>
        </w:tc>
        <w:tc>
          <w:tcPr>
            <w:tcW w:type="dxa" w:w="4320"/>
            <w:shd w:val="clear" w:fill="F3F7F9"/>
          </w:tcPr>
          <w:p>
            <w:r/>
            <w:r>
              <w:rPr>
                <w:rFonts w:ascii="Calibri" w:hAnsi="Calibri"/>
                <w:b w:val="0"/>
                <w:i w:val="0"/>
                <w:color w:val="1B2A32"/>
                <w:sz w:val="17"/>
              </w:rPr>
              <w:t>AI governance — guardrails, evaluation results, human oversight</w:t>
            </w:r>
          </w:p>
        </w:tc>
        <w:tc>
          <w:tcPr>
            <w:tcW w:type="dxa" w:w="3456"/>
            <w:shd w:val="clear" w:fill="F3F7F9"/>
          </w:tcPr>
          <w:p>
            <w:r/>
            <w:r>
              <w:rPr>
                <w:rFonts w:ascii="Calibri" w:hAnsi="Calibri"/>
                <w:b w:val="0"/>
                <w:i w:val="0"/>
                <w:color w:val="1B2A32"/>
                <w:sz w:val="17"/>
              </w:rPr>
              <w:t>AI Implementation &amp; Evaluation Specification</w:t>
            </w:r>
          </w:p>
        </w:tc>
        <w:tc>
          <w:tcPr>
            <w:tcW w:type="dxa" w:w="1008"/>
            <w:shd w:val="clear" w:fill="F3F7F9"/>
          </w:tcPr>
          <w:p>
            <w:r/>
          </w:p>
        </w:tc>
      </w:tr>
      <w:tr>
        <w:tc>
          <w:tcPr>
            <w:tcW w:type="dxa" w:w="720"/>
          </w:tcPr>
          <w:p>
            <w:r/>
            <w:r>
              <w:rPr>
                <w:rFonts w:ascii="Calibri" w:hAnsi="Calibri"/>
                <w:b w:val="0"/>
                <w:i w:val="0"/>
                <w:color w:val="1B2A32"/>
                <w:sz w:val="17"/>
              </w:rPr>
              <w:t>D9</w:t>
            </w:r>
          </w:p>
        </w:tc>
        <w:tc>
          <w:tcPr>
            <w:tcW w:type="dxa" w:w="4320"/>
          </w:tcPr>
          <w:p>
            <w:r/>
            <w:r>
              <w:rPr>
                <w:rFonts w:ascii="Calibri" w:hAnsi="Calibri"/>
                <w:b w:val="0"/>
                <w:i w:val="0"/>
                <w:color w:val="1B2A32"/>
                <w:sz w:val="17"/>
              </w:rPr>
              <w:t>Quality system, internal-audit plan and case-audit records</w:t>
            </w:r>
          </w:p>
        </w:tc>
        <w:tc>
          <w:tcPr>
            <w:tcW w:type="dxa" w:w="3456"/>
          </w:tcPr>
          <w:p>
            <w:r/>
            <w:r>
              <w:rPr>
                <w:rFonts w:ascii="Calibri" w:hAnsi="Calibri"/>
                <w:b w:val="0"/>
                <w:i w:val="0"/>
                <w:color w:val="1B2A32"/>
                <w:sz w:val="17"/>
              </w:rPr>
              <w:t>Quality Management &amp; Assurance Manual</w:t>
            </w:r>
          </w:p>
        </w:tc>
        <w:tc>
          <w:tcPr>
            <w:tcW w:type="dxa" w:w="1008"/>
          </w:tcPr>
          <w:p>
            <w:r/>
          </w:p>
        </w:tc>
      </w:tr>
      <w:tr>
        <w:tc>
          <w:tcPr>
            <w:tcW w:type="dxa" w:w="720"/>
            <w:shd w:val="clear" w:fill="F3F7F9"/>
          </w:tcPr>
          <w:p>
            <w:r/>
            <w:r>
              <w:rPr>
                <w:rFonts w:ascii="Calibri" w:hAnsi="Calibri"/>
                <w:b w:val="0"/>
                <w:i w:val="0"/>
                <w:color w:val="1B2A32"/>
                <w:sz w:val="17"/>
              </w:rPr>
              <w:t>D10</w:t>
            </w:r>
          </w:p>
        </w:tc>
        <w:tc>
          <w:tcPr>
            <w:tcW w:type="dxa" w:w="4320"/>
            <w:shd w:val="clear" w:fill="F3F7F9"/>
          </w:tcPr>
          <w:p>
            <w:r/>
            <w:r>
              <w:rPr>
                <w:rFonts w:ascii="Calibri" w:hAnsi="Calibri"/>
                <w:b w:val="0"/>
                <w:i w:val="0"/>
                <w:color w:val="1B2A32"/>
                <w:sz w:val="17"/>
              </w:rPr>
              <w:t>Accessibility and vernacular provision</w:t>
            </w:r>
          </w:p>
        </w:tc>
        <w:tc>
          <w:tcPr>
            <w:tcW w:type="dxa" w:w="3456"/>
            <w:shd w:val="clear" w:fill="F3F7F9"/>
          </w:tcPr>
          <w:p>
            <w:r/>
            <w:r>
              <w:rPr>
                <w:rFonts w:ascii="Calibri" w:hAnsi="Calibri"/>
                <w:b w:val="0"/>
                <w:i w:val="0"/>
                <w:color w:val="1B2A32"/>
                <w:sz w:val="17"/>
              </w:rPr>
              <w:t>Blueprint; outreach materials</w:t>
            </w:r>
          </w:p>
        </w:tc>
        <w:tc>
          <w:tcPr>
            <w:tcW w:type="dxa" w:w="1008"/>
            <w:shd w:val="clear" w:fill="F3F7F9"/>
          </w:tcPr>
          <w:p>
            <w:r/>
          </w:p>
        </w:tc>
      </w:tr>
    </w:tbl>
    <w:p>
      <w:pPr>
        <w:spacing w:after="40"/>
      </w:pPr>
    </w:p>
    <w:p>
      <w:pPr>
        <w:keepNext/>
        <w:spacing w:before="280" w:after="120"/>
        <w:pBdr>
          <w:bottom w:val="single" w:sz="12" w:space="3" w:color="C6A15B"/>
        </w:pBdr>
      </w:pPr>
      <w:r>
        <w:rPr>
          <w:rFonts w:ascii="Calibri" w:hAnsi="Calibri"/>
          <w:b/>
          <w:i w:val="0"/>
          <w:color w:val="123B4F"/>
          <w:sz w:val="32"/>
        </w:rPr>
        <w:t>5.  Part E — Track record and reporting</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720"/>
            <w:shd w:val="clear" w:fill="123B4F"/>
          </w:tcPr>
          <w:p>
            <w:r/>
            <w:r>
              <w:rPr>
                <w:rFonts w:ascii="Calibri" w:hAnsi="Calibri"/>
                <w:b/>
                <w:i w:val="0"/>
                <w:color w:val="FFFFFF"/>
                <w:sz w:val="17"/>
              </w:rPr>
              <w:t>#</w:t>
            </w:r>
          </w:p>
        </w:tc>
        <w:tc>
          <w:tcPr>
            <w:tcW w:type="dxa" w:w="4320"/>
            <w:shd w:val="clear" w:fill="123B4F"/>
          </w:tcPr>
          <w:p>
            <w:r/>
            <w:r>
              <w:rPr>
                <w:rFonts w:ascii="Calibri" w:hAnsi="Calibri"/>
                <w:b/>
                <w:i w:val="0"/>
                <w:color w:val="FFFFFF"/>
                <w:sz w:val="17"/>
              </w:rPr>
              <w:t>Document / evidence</w:t>
            </w:r>
          </w:p>
        </w:tc>
        <w:tc>
          <w:tcPr>
            <w:tcW w:type="dxa" w:w="3456"/>
            <w:shd w:val="clear" w:fill="123B4F"/>
          </w:tcPr>
          <w:p>
            <w:r/>
            <w:r>
              <w:rPr>
                <w:rFonts w:ascii="Calibri" w:hAnsi="Calibri"/>
                <w:b/>
                <w:i w:val="0"/>
                <w:color w:val="FFFFFF"/>
                <w:sz w:val="17"/>
              </w:rPr>
              <w:t>Where it exists today</w:t>
            </w:r>
          </w:p>
        </w:tc>
        <w:tc>
          <w:tcPr>
            <w:tcW w:type="dxa" w:w="1008"/>
            <w:shd w:val="clear" w:fill="123B4F"/>
          </w:tcPr>
          <w:p>
            <w:r/>
            <w:r>
              <w:rPr>
                <w:rFonts w:ascii="Calibri" w:hAnsi="Calibri"/>
                <w:b/>
                <w:i w:val="0"/>
                <w:color w:val="FFFFFF"/>
                <w:sz w:val="17"/>
              </w:rPr>
              <w:t>Status</w:t>
            </w:r>
          </w:p>
        </w:tc>
      </w:tr>
      <w:tr>
        <w:tc>
          <w:tcPr>
            <w:tcW w:type="dxa" w:w="720"/>
          </w:tcPr>
          <w:p>
            <w:r/>
            <w:r>
              <w:rPr>
                <w:rFonts w:ascii="Calibri" w:hAnsi="Calibri"/>
                <w:b w:val="0"/>
                <w:i w:val="0"/>
                <w:color w:val="1B2A32"/>
                <w:sz w:val="17"/>
              </w:rPr>
              <w:t>E1</w:t>
            </w:r>
          </w:p>
        </w:tc>
        <w:tc>
          <w:tcPr>
            <w:tcW w:type="dxa" w:w="4320"/>
          </w:tcPr>
          <w:p>
            <w:r/>
            <w:r>
              <w:rPr>
                <w:rFonts w:ascii="Calibri" w:hAnsi="Calibri"/>
                <w:b w:val="0"/>
                <w:i w:val="0"/>
                <w:color w:val="1B2A32"/>
                <w:sz w:val="17"/>
              </w:rPr>
              <w:t>Anonymised outcome statistics — volumes, settlement rate, timeliness</w:t>
            </w:r>
          </w:p>
        </w:tc>
        <w:tc>
          <w:tcPr>
            <w:tcW w:type="dxa" w:w="3456"/>
          </w:tcPr>
          <w:p>
            <w:r/>
            <w:r>
              <w:rPr>
                <w:rFonts w:ascii="Calibri" w:hAnsi="Calibri"/>
                <w:b w:val="0"/>
                <w:i w:val="0"/>
                <w:color w:val="1B2A32"/>
                <w:sz w:val="17"/>
              </w:rPr>
              <w:t>Impact &amp; Research Framework; platform MIS</w:t>
            </w:r>
          </w:p>
        </w:tc>
        <w:tc>
          <w:tcPr>
            <w:tcW w:type="dxa" w:w="1008"/>
          </w:tcPr>
          <w:p>
            <w:r/>
          </w:p>
        </w:tc>
      </w:tr>
      <w:tr>
        <w:tc>
          <w:tcPr>
            <w:tcW w:type="dxa" w:w="720"/>
            <w:shd w:val="clear" w:fill="F3F7F9"/>
          </w:tcPr>
          <w:p>
            <w:r/>
            <w:r>
              <w:rPr>
                <w:rFonts w:ascii="Calibri" w:hAnsi="Calibri"/>
                <w:b w:val="0"/>
                <w:i w:val="0"/>
                <w:color w:val="1B2A32"/>
                <w:sz w:val="17"/>
              </w:rPr>
              <w:t>E2</w:t>
            </w:r>
          </w:p>
        </w:tc>
        <w:tc>
          <w:tcPr>
            <w:tcW w:type="dxa" w:w="4320"/>
            <w:shd w:val="clear" w:fill="F3F7F9"/>
          </w:tcPr>
          <w:p>
            <w:r/>
            <w:r>
              <w:rPr>
                <w:rFonts w:ascii="Calibri" w:hAnsi="Calibri"/>
                <w:b w:val="0"/>
                <w:i w:val="0"/>
                <w:color w:val="1B2A32"/>
                <w:sz w:val="17"/>
              </w:rPr>
              <w:t>Party-satisfaction and fairness data (both parties)</w:t>
            </w:r>
          </w:p>
        </w:tc>
        <w:tc>
          <w:tcPr>
            <w:tcW w:type="dxa" w:w="3456"/>
            <w:shd w:val="clear" w:fill="F3F7F9"/>
          </w:tcPr>
          <w:p>
            <w:r/>
            <w:r>
              <w:rPr>
                <w:rFonts w:ascii="Calibri" w:hAnsi="Calibri"/>
                <w:b w:val="0"/>
                <w:i w:val="0"/>
                <w:color w:val="1B2A32"/>
                <w:sz w:val="17"/>
              </w:rPr>
              <w:t>Impact &amp; Research Framework</w:t>
            </w:r>
          </w:p>
        </w:tc>
        <w:tc>
          <w:tcPr>
            <w:tcW w:type="dxa" w:w="1008"/>
            <w:shd w:val="clear" w:fill="F3F7F9"/>
          </w:tcPr>
          <w:p>
            <w:r/>
          </w:p>
        </w:tc>
      </w:tr>
      <w:tr>
        <w:tc>
          <w:tcPr>
            <w:tcW w:type="dxa" w:w="720"/>
          </w:tcPr>
          <w:p>
            <w:r/>
            <w:r>
              <w:rPr>
                <w:rFonts w:ascii="Calibri" w:hAnsi="Calibri"/>
                <w:b w:val="0"/>
                <w:i w:val="0"/>
                <w:color w:val="1B2A32"/>
                <w:sz w:val="17"/>
              </w:rPr>
              <w:t>E3</w:t>
            </w:r>
          </w:p>
        </w:tc>
        <w:tc>
          <w:tcPr>
            <w:tcW w:type="dxa" w:w="4320"/>
          </w:tcPr>
          <w:p>
            <w:r/>
            <w:r>
              <w:rPr>
                <w:rFonts w:ascii="Calibri" w:hAnsi="Calibri"/>
                <w:b w:val="0"/>
                <w:i w:val="0"/>
                <w:color w:val="1B2A32"/>
                <w:sz w:val="17"/>
              </w:rPr>
              <w:t>Court-referral experience and any pilot evaluation</w:t>
            </w:r>
          </w:p>
        </w:tc>
        <w:tc>
          <w:tcPr>
            <w:tcW w:type="dxa" w:w="3456"/>
          </w:tcPr>
          <w:p>
            <w:r/>
            <w:r>
              <w:rPr>
                <w:rFonts w:ascii="Calibri" w:hAnsi="Calibri"/>
                <w:b w:val="0"/>
                <w:i w:val="0"/>
                <w:color w:val="1B2A32"/>
                <w:sz w:val="17"/>
              </w:rPr>
              <w:t>Court-Referral MoU &amp; Pilot Plan</w:t>
            </w:r>
          </w:p>
        </w:tc>
        <w:tc>
          <w:tcPr>
            <w:tcW w:type="dxa" w:w="1008"/>
          </w:tcPr>
          <w:p>
            <w:r/>
          </w:p>
        </w:tc>
      </w:tr>
      <w:tr>
        <w:tc>
          <w:tcPr>
            <w:tcW w:type="dxa" w:w="720"/>
            <w:shd w:val="clear" w:fill="F3F7F9"/>
          </w:tcPr>
          <w:p>
            <w:r/>
            <w:r>
              <w:rPr>
                <w:rFonts w:ascii="Calibri" w:hAnsi="Calibri"/>
                <w:b w:val="0"/>
                <w:i w:val="0"/>
                <w:color w:val="1B2A32"/>
                <w:sz w:val="17"/>
              </w:rPr>
              <w:t>E4</w:t>
            </w:r>
          </w:p>
        </w:tc>
        <w:tc>
          <w:tcPr>
            <w:tcW w:type="dxa" w:w="4320"/>
            <w:shd w:val="clear" w:fill="F3F7F9"/>
          </w:tcPr>
          <w:p>
            <w:r/>
            <w:r>
              <w:rPr>
                <w:rFonts w:ascii="Calibri" w:hAnsi="Calibri"/>
                <w:b w:val="0"/>
                <w:i w:val="0"/>
                <w:color w:val="1B2A32"/>
                <w:sz w:val="17"/>
              </w:rPr>
              <w:t>Complaints register and how complaints were resolved</w:t>
            </w:r>
          </w:p>
        </w:tc>
        <w:tc>
          <w:tcPr>
            <w:tcW w:type="dxa" w:w="3456"/>
            <w:shd w:val="clear" w:fill="F3F7F9"/>
          </w:tcPr>
          <w:p>
            <w:r/>
            <w:r>
              <w:rPr>
                <w:rFonts w:ascii="Calibri" w:hAnsi="Calibri"/>
                <w:b w:val="0"/>
                <w:i w:val="0"/>
                <w:color w:val="1B2A32"/>
                <w:sz w:val="17"/>
              </w:rPr>
              <w:t>Grievance Redressal Policy; QMS</w:t>
            </w:r>
          </w:p>
        </w:tc>
        <w:tc>
          <w:tcPr>
            <w:tcW w:type="dxa" w:w="1008"/>
            <w:shd w:val="clear" w:fill="F3F7F9"/>
          </w:tcPr>
          <w:p>
            <w:r/>
          </w:p>
        </w:tc>
      </w:tr>
      <w:tr>
        <w:tc>
          <w:tcPr>
            <w:tcW w:type="dxa" w:w="720"/>
          </w:tcPr>
          <w:p>
            <w:r/>
            <w:r>
              <w:rPr>
                <w:rFonts w:ascii="Calibri" w:hAnsi="Calibri"/>
                <w:b w:val="0"/>
                <w:i w:val="0"/>
                <w:color w:val="1B2A32"/>
                <w:sz w:val="17"/>
              </w:rPr>
              <w:t>E5</w:t>
            </w:r>
          </w:p>
        </w:tc>
        <w:tc>
          <w:tcPr>
            <w:tcW w:type="dxa" w:w="4320"/>
          </w:tcPr>
          <w:p>
            <w:r/>
            <w:r>
              <w:rPr>
                <w:rFonts w:ascii="Calibri" w:hAnsi="Calibri"/>
                <w:b w:val="0"/>
                <w:i w:val="0"/>
                <w:color w:val="1B2A32"/>
                <w:sz w:val="17"/>
              </w:rPr>
              <w:t>Annual report of the institution</w:t>
            </w:r>
          </w:p>
        </w:tc>
        <w:tc>
          <w:tcPr>
            <w:tcW w:type="dxa" w:w="3456"/>
          </w:tcPr>
          <w:p>
            <w:r/>
            <w:r>
              <w:rPr>
                <w:rFonts w:ascii="Calibri" w:hAnsi="Calibri"/>
                <w:b w:val="0"/>
                <w:i w:val="0"/>
                <w:color w:val="1B2A32"/>
                <w:sz w:val="17"/>
              </w:rPr>
              <w:t>To be prepared annually</w:t>
            </w:r>
          </w:p>
        </w:tc>
        <w:tc>
          <w:tcPr>
            <w:tcW w:type="dxa" w:w="1008"/>
          </w:tcPr>
          <w:p>
            <w:r/>
          </w:p>
        </w:tc>
      </w:tr>
      <w:tr>
        <w:tc>
          <w:tcPr>
            <w:tcW w:type="dxa" w:w="720"/>
            <w:shd w:val="clear" w:fill="F3F7F9"/>
          </w:tcPr>
          <w:p>
            <w:r/>
            <w:r>
              <w:rPr>
                <w:rFonts w:ascii="Calibri" w:hAnsi="Calibri"/>
                <w:b w:val="0"/>
                <w:i w:val="0"/>
                <w:color w:val="1B2A32"/>
                <w:sz w:val="17"/>
              </w:rPr>
              <w:t>E6</w:t>
            </w:r>
          </w:p>
        </w:tc>
        <w:tc>
          <w:tcPr>
            <w:tcW w:type="dxa" w:w="4320"/>
            <w:shd w:val="clear" w:fill="F3F7F9"/>
          </w:tcPr>
          <w:p>
            <w:r/>
            <w:r>
              <w:rPr>
                <w:rFonts w:ascii="Calibri" w:hAnsi="Calibri"/>
                <w:b w:val="0"/>
                <w:i w:val="0"/>
                <w:color w:val="1B2A32"/>
                <w:sz w:val="17"/>
              </w:rPr>
              <w:t>Undertaking to file periodic returns to the Council</w:t>
            </w:r>
          </w:p>
        </w:tc>
        <w:tc>
          <w:tcPr>
            <w:tcW w:type="dxa" w:w="3456"/>
            <w:shd w:val="clear" w:fill="F3F7F9"/>
          </w:tcPr>
          <w:p>
            <w:r/>
            <w:r>
              <w:rPr>
                <w:rFonts w:ascii="Calibri" w:hAnsi="Calibri"/>
                <w:b w:val="0"/>
                <w:i w:val="0"/>
                <w:color w:val="1B2A32"/>
                <w:sz w:val="17"/>
              </w:rPr>
              <w:t>To be prepared</w:t>
            </w:r>
          </w:p>
        </w:tc>
        <w:tc>
          <w:tcPr>
            <w:tcW w:type="dxa" w:w="1008"/>
            <w:shd w:val="clear" w:fill="F3F7F9"/>
          </w:tcPr>
          <w:p>
            <w:r/>
          </w:p>
        </w:tc>
      </w:tr>
    </w:tbl>
    <w:p>
      <w:pPr>
        <w:spacing w:after="40"/>
      </w:pPr>
    </w:p>
    <w:p>
      <w:pPr>
        <w:keepNext/>
        <w:spacing w:before="280" w:after="120"/>
        <w:pBdr>
          <w:bottom w:val="single" w:sz="12" w:space="3" w:color="C6A15B"/>
        </w:pBdr>
      </w:pPr>
      <w:r>
        <w:rPr>
          <w:rFonts w:ascii="Calibri" w:hAnsi="Calibri"/>
          <w:b/>
          <w:i w:val="0"/>
          <w:color w:val="123B4F"/>
          <w:sz w:val="32"/>
        </w:rPr>
        <w:t>6.  Sequence to filing</w:t>
      </w:r>
    </w:p>
    <w:p>
      <w:pPr>
        <w:pStyle w:val="ListNumber"/>
        <w:spacing w:after="60"/>
        <w:jc w:val="both"/>
      </w:pPr>
      <w:r>
        <w:rPr>
          <w:rFonts w:ascii="Calibri" w:hAnsi="Calibri"/>
          <w:b/>
          <w:i w:val="0"/>
          <w:color w:val="1B2A32"/>
          <w:sz w:val="21"/>
        </w:rPr>
        <w:t>Watching brief</w:t>
      </w:r>
      <w:r>
        <w:rPr>
          <w:rFonts w:ascii="Calibri" w:hAnsi="Calibri"/>
          <w:b w:val="0"/>
          <w:i w:val="0"/>
          <w:color w:val="1B2A32"/>
          <w:sz w:val="21"/>
        </w:rPr>
        <w:t xml:space="preserve"> — counsel tracks the Council's constitution and the notification of the MSP regulations.</w:t>
      </w:r>
    </w:p>
    <w:p>
      <w:pPr>
        <w:pStyle w:val="ListNumber"/>
        <w:spacing w:after="60"/>
        <w:jc w:val="both"/>
      </w:pPr>
      <w:r>
        <w:rPr>
          <w:rFonts w:ascii="Calibri" w:hAnsi="Calibri"/>
          <w:b/>
          <w:i w:val="0"/>
          <w:color w:val="1B2A32"/>
          <w:sz w:val="21"/>
        </w:rPr>
        <w:t>Gap review</w:t>
      </w:r>
      <w:r>
        <w:rPr>
          <w:rFonts w:ascii="Calibri" w:hAnsi="Calibri"/>
          <w:b w:val="0"/>
          <w:i w:val="0"/>
          <w:color w:val="1B2A32"/>
          <w:sz w:val="21"/>
        </w:rPr>
        <w:t xml:space="preserve"> — run this pack as a checklist; every row must have an owner and a date.</w:t>
      </w:r>
    </w:p>
    <w:p>
      <w:pPr>
        <w:pStyle w:val="ListNumber"/>
        <w:spacing w:after="60"/>
        <w:jc w:val="both"/>
      </w:pPr>
      <w:r>
        <w:rPr>
          <w:rFonts w:ascii="Calibri" w:hAnsi="Calibri"/>
          <w:b/>
          <w:i w:val="0"/>
          <w:color w:val="1B2A32"/>
          <w:sz w:val="21"/>
        </w:rPr>
        <w:t>Board adoption</w:t>
      </w:r>
      <w:r>
        <w:rPr>
          <w:rFonts w:ascii="Calibri" w:hAnsi="Calibri"/>
          <w:b w:val="0"/>
          <w:i w:val="0"/>
          <w:color w:val="1B2A32"/>
          <w:sz w:val="21"/>
        </w:rPr>
        <w:t xml:space="preserve"> — pass resolutions adopting the Rules, Bye-laws, Code of Conduct, Tariff and policies.</w:t>
      </w:r>
    </w:p>
    <w:p>
      <w:pPr>
        <w:pStyle w:val="ListNumber"/>
        <w:spacing w:after="60"/>
        <w:jc w:val="both"/>
      </w:pPr>
      <w:r>
        <w:rPr>
          <w:rFonts w:ascii="Calibri" w:hAnsi="Calibri"/>
          <w:b/>
          <w:i w:val="0"/>
          <w:color w:val="1B2A32"/>
          <w:sz w:val="21"/>
        </w:rPr>
        <w:t>Evidence assembly</w:t>
      </w:r>
      <w:r>
        <w:rPr>
          <w:rFonts w:ascii="Calibri" w:hAnsi="Calibri"/>
          <w:b w:val="0"/>
          <w:i w:val="0"/>
          <w:color w:val="1B2A32"/>
          <w:sz w:val="21"/>
        </w:rPr>
        <w:t xml:space="preserve"> — collect certificates, panel records, audit and outcome data into a single indexed bundle.</w:t>
      </w:r>
    </w:p>
    <w:p>
      <w:pPr>
        <w:pStyle w:val="ListNumber"/>
        <w:spacing w:after="60"/>
        <w:jc w:val="both"/>
      </w:pPr>
      <w:r>
        <w:rPr>
          <w:rFonts w:ascii="Calibri" w:hAnsi="Calibri"/>
          <w:b/>
          <w:i w:val="0"/>
          <w:color w:val="1B2A32"/>
          <w:sz w:val="21"/>
        </w:rPr>
        <w:t>Alignment check</w:t>
      </w:r>
      <w:r>
        <w:rPr>
          <w:rFonts w:ascii="Calibri" w:hAnsi="Calibri"/>
          <w:b w:val="0"/>
          <w:i w:val="0"/>
          <w:color w:val="1B2A32"/>
          <w:sz w:val="21"/>
        </w:rPr>
        <w:t xml:space="preserve"> — once the regulations are notified, map this pack to the prescribed form and criteria; close any delta.</w:t>
      </w:r>
    </w:p>
    <w:p>
      <w:pPr>
        <w:pStyle w:val="ListNumber"/>
        <w:spacing w:after="60"/>
        <w:jc w:val="both"/>
      </w:pPr>
      <w:r>
        <w:rPr>
          <w:rFonts w:ascii="Calibri" w:hAnsi="Calibri"/>
          <w:b/>
          <w:i w:val="0"/>
          <w:color w:val="1B2A32"/>
          <w:sz w:val="21"/>
        </w:rPr>
        <w:t>File</w:t>
      </w:r>
      <w:r>
        <w:rPr>
          <w:rFonts w:ascii="Calibri" w:hAnsi="Calibri"/>
          <w:b w:val="0"/>
          <w:i w:val="0"/>
          <w:color w:val="1B2A32"/>
          <w:sz w:val="21"/>
        </w:rPr>
        <w:t xml:space="preserve"> — submit with the prescribed fee; retain a complete copy of what was filed.</w:t>
      </w:r>
    </w:p>
    <w:p>
      <w:pPr>
        <w:pStyle w:val="ListNumber"/>
        <w:spacing w:after="60"/>
        <w:jc w:val="both"/>
      </w:pPr>
      <w:r>
        <w:rPr>
          <w:rFonts w:ascii="Calibri" w:hAnsi="Calibri"/>
          <w:b/>
          <w:i w:val="0"/>
          <w:color w:val="1B2A32"/>
          <w:sz w:val="21"/>
        </w:rPr>
        <w:t>Maintain</w:t>
      </w:r>
      <w:r>
        <w:rPr>
          <w:rFonts w:ascii="Calibri" w:hAnsi="Calibri"/>
          <w:b w:val="0"/>
          <w:i w:val="0"/>
          <w:color w:val="1B2A32"/>
          <w:sz w:val="21"/>
        </w:rPr>
        <w:t xml:space="preserve"> — file periodic returns; keep the panel register, CPD and outcome data current; re-audit annually.</w:t>
      </w:r>
    </w:p>
    <w:p>
      <w:pPr>
        <w:keepNext/>
        <w:spacing w:before="280" w:after="120"/>
        <w:pBdr>
          <w:bottom w:val="single" w:sz="12" w:space="3" w:color="C6A15B"/>
        </w:pBdr>
      </w:pPr>
      <w:r>
        <w:rPr>
          <w:rFonts w:ascii="Calibri" w:hAnsi="Calibri"/>
          <w:b/>
          <w:i w:val="0"/>
          <w:color w:val="123B4F"/>
          <w:sz w:val="32"/>
        </w:rPr>
        <w:t>7.  Known open questions for counsel</w:t>
      </w:r>
    </w:p>
    <w:p>
      <w:pPr>
        <w:pStyle w:val="ListBullet"/>
        <w:spacing w:after="60"/>
        <w:jc w:val="both"/>
      </w:pPr>
      <w:r>
        <w:rPr>
          <w:rFonts w:ascii="Calibri" w:hAnsi="Calibri"/>
          <w:b w:val="0"/>
          <w:i w:val="0"/>
          <w:color w:val="1B2A32"/>
          <w:sz w:val="21"/>
        </w:rPr>
        <w:t xml:space="preserve">The </w:t>
      </w:r>
      <w:r>
        <w:rPr>
          <w:rFonts w:ascii="Calibri" w:hAnsi="Calibri"/>
          <w:b/>
          <w:i w:val="0"/>
          <w:color w:val="1B2A32"/>
          <w:sz w:val="21"/>
        </w:rPr>
        <w:t>prescribed form, fee and criteria</w:t>
      </w:r>
      <w:r>
        <w:rPr>
          <w:rFonts w:ascii="Calibri" w:hAnsi="Calibri"/>
          <w:b w:val="0"/>
          <w:i w:val="0"/>
          <w:color w:val="1B2A32"/>
          <w:sz w:val="21"/>
        </w:rPr>
        <w:t xml:space="preserve"> for MSP recognition, and whether grading of the institution is separate from grading of mediators.</w:t>
      </w:r>
    </w:p>
    <w:p>
      <w:pPr>
        <w:pStyle w:val="ListBullet"/>
        <w:spacing w:after="60"/>
        <w:jc w:val="both"/>
      </w:pPr>
      <w:r>
        <w:rPr>
          <w:rFonts w:ascii="Calibri" w:hAnsi="Calibri"/>
          <w:b w:val="0"/>
          <w:i w:val="0"/>
          <w:color w:val="1B2A32"/>
          <w:sz w:val="21"/>
        </w:rPr>
        <w:t xml:space="preserve">Whether recognition is </w:t>
      </w:r>
      <w:r>
        <w:rPr>
          <w:rFonts w:ascii="Calibri" w:hAnsi="Calibri"/>
          <w:b/>
          <w:i w:val="0"/>
          <w:color w:val="1B2A32"/>
          <w:sz w:val="21"/>
        </w:rPr>
        <w:t>jurisdiction-specific</w:t>
      </w:r>
      <w:r>
        <w:rPr>
          <w:rFonts w:ascii="Calibri" w:hAnsi="Calibri"/>
          <w:b w:val="0"/>
          <w:i w:val="0"/>
          <w:color w:val="1B2A32"/>
          <w:sz w:val="21"/>
        </w:rPr>
        <w:t xml:space="preserve"> or national, and any State-level registration in addition.</w:t>
      </w:r>
    </w:p>
    <w:p>
      <w:pPr>
        <w:pStyle w:val="ListBullet"/>
        <w:spacing w:after="60"/>
        <w:jc w:val="both"/>
      </w:pPr>
      <w:r>
        <w:rPr>
          <w:rFonts w:ascii="Calibri" w:hAnsi="Calibri"/>
          <w:b w:val="0"/>
          <w:i w:val="0"/>
          <w:color w:val="1B2A32"/>
          <w:sz w:val="21"/>
        </w:rPr>
        <w:t xml:space="preserve">The </w:t>
      </w:r>
      <w:r>
        <w:rPr>
          <w:rFonts w:ascii="Calibri" w:hAnsi="Calibri"/>
          <w:b/>
          <w:i w:val="0"/>
          <w:color w:val="1B2A32"/>
          <w:sz w:val="21"/>
        </w:rPr>
        <w:t>minimum panel size, qualification and training</w:t>
      </w:r>
      <w:r>
        <w:rPr>
          <w:rFonts w:ascii="Calibri" w:hAnsi="Calibri"/>
          <w:b w:val="0"/>
          <w:i w:val="0"/>
          <w:color w:val="1B2A32"/>
          <w:sz w:val="21"/>
        </w:rPr>
        <w:t xml:space="preserve"> the Council will require, and whether our ECFM programme will be recognised or must be re-accredited.</w:t>
      </w:r>
    </w:p>
    <w:p>
      <w:pPr>
        <w:pStyle w:val="ListBullet"/>
        <w:spacing w:after="60"/>
        <w:jc w:val="both"/>
      </w:pPr>
      <w:r>
        <w:rPr>
          <w:rFonts w:ascii="Calibri" w:hAnsi="Calibri"/>
          <w:b/>
          <w:i w:val="0"/>
          <w:color w:val="1B2A32"/>
          <w:sz w:val="21"/>
        </w:rPr>
        <w:t>Transitional arrangements</w:t>
      </w:r>
      <w:r>
        <w:rPr>
          <w:rFonts w:ascii="Calibri" w:hAnsi="Calibri"/>
          <w:b w:val="0"/>
          <w:i w:val="0"/>
          <w:color w:val="1B2A32"/>
          <w:sz w:val="21"/>
        </w:rPr>
        <w:t xml:space="preserve"> for institutions already administering mediations before recognition.</w:t>
      </w:r>
    </w:p>
    <w:p>
      <w:pPr>
        <w:pStyle w:val="ListBullet"/>
        <w:spacing w:after="60"/>
        <w:jc w:val="both"/>
      </w:pPr>
      <w:r>
        <w:rPr>
          <w:rFonts w:ascii="Calibri" w:hAnsi="Calibri"/>
          <w:b w:val="0"/>
          <w:i w:val="0"/>
          <w:color w:val="1B2A32"/>
          <w:sz w:val="21"/>
        </w:rPr>
        <w:t>Reporting obligations, their frequency and format.</w:t>
      </w:r>
    </w:p>
    <w:p>
      <w:pPr>
        <w:pStyle w:val="ListBullet"/>
        <w:spacing w:after="60"/>
        <w:jc w:val="both"/>
      </w:pPr>
      <w:r>
        <w:rPr>
          <w:rFonts w:ascii="Calibri" w:hAnsi="Calibri"/>
          <w:b w:val="0"/>
          <w:i w:val="0"/>
          <w:color w:val="1B2A32"/>
          <w:sz w:val="21"/>
        </w:rPr>
        <w:t>Whether court-annexed and private mediation attract different requirements.</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A note on sequencing</w:t>
            </w:r>
          </w:p>
          <w:p>
            <w:r>
              <w:rPr>
                <w:rFonts w:ascii="Calibri" w:hAnsi="Calibri"/>
                <w:b w:val="0"/>
                <w:i w:val="0"/>
                <w:color w:val="1B2A32"/>
                <w:sz w:val="19"/>
              </w:rPr>
              <w:t>Do not wait for recognition to build the evidence. Almost everything the Council is likely to ask for — rules, a trained panel, documented process, records, outcome data — takes months to accumulate honestly. An institution that starts assembling on the day the form is notified is already a year behind one that has been operating to the standard all along.</w:t>
            </w:r>
          </w:p>
        </w:tc>
      </w:tr>
    </w:tbl>
    <w:p>
      <w:pPr>
        <w:spacing w:after="40"/>
      </w:pPr>
    </w:p>
    <w:p>
      <w:pPr>
        <w:spacing w:after="40"/>
        <w:jc w:val="both"/>
      </w:pPr>
      <w:r>
        <w:rPr>
          <w:rFonts w:ascii="Calibri" w:hAnsi="Calibri"/>
          <w:b w:val="0"/>
          <w:i w:val="0"/>
          <w:color w:val="1B2A32"/>
          <w:sz w:val="21"/>
        </w:rPr>
        <w:t>This pack is scaffolding for an application, not legal advice, and does not represent that recognition will be granted. The notified regulations govern.</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Family &amp; Marital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FBC9FE-2B80-4080-B642-EA4F2E505FEF}"/>
</file>

<file path=customXml/itemProps3.xml><?xml version="1.0" encoding="utf-8"?>
<ds:datastoreItem xmlns:ds="http://schemas.openxmlformats.org/officeDocument/2006/customXml" ds:itemID="{E37521A0-8995-4F1D-A424-2B8B70153D7D}"/>
</file>

<file path=customXml/itemProps4.xml><?xml version="1.0" encoding="utf-8"?>
<ds:datastoreItem xmlns:ds="http://schemas.openxmlformats.org/officeDocument/2006/customXml" ds:itemID="{2C76BCA3-8F4F-4FD6-826B-DDA6E7EACDB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