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Organisation Design &amp; Hiring Plan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Roles, structure and a staffing ramp tied to the financial model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Design principles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Small core, deep panel.</w:t>
      </w:r>
      <w:r>
        <w:rPr>
          <w:rFonts w:ascii="Calibri" w:hAnsi="Calibri"/>
          <w:b w:val="0"/>
          <w:i w:val="0"/>
          <w:color w:val="1B2A32"/>
          <w:sz w:val="21"/>
        </w:rPr>
        <w:t xml:space="preserve"> Mediators are engaged per matter; the salaried core stays lean.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Safety and quality are never outsourced.</w:t>
      </w:r>
      <w:r>
        <w:rPr>
          <w:rFonts w:ascii="Calibri" w:hAnsi="Calibri"/>
          <w:b w:val="0"/>
          <w:i w:val="0"/>
          <w:color w:val="1B2A32"/>
          <w:sz w:val="21"/>
        </w:rPr>
        <w:t xml:space="preserve"> Safeguarding and quality assurance sit in-house from day one.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Separation of duties.</w:t>
      </w:r>
      <w:r>
        <w:rPr>
          <w:rFonts w:ascii="Calibri" w:hAnsi="Calibri"/>
          <w:b w:val="0"/>
          <w:i w:val="0"/>
          <w:color w:val="1B2A32"/>
          <w:sz w:val="21"/>
        </w:rPr>
        <w:t xml:space="preserve"> Case management, money (escrow) and quality audit are separate roles.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Hire to volume, not to hope.</w:t>
      </w:r>
      <w:r>
        <w:rPr>
          <w:rFonts w:ascii="Calibri" w:hAnsi="Calibri"/>
          <w:b w:val="0"/>
          <w:i w:val="0"/>
          <w:color w:val="1B2A32"/>
          <w:sz w:val="21"/>
        </w:rPr>
        <w:t xml:space="preserve"> Each hire is tied to a case-volume trigger in the financial model.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34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org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Figure — the organisation chart. Note the dashed lines: Safeguarding and Quality report findings directly to the Board, so neither can be blocked by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Function</w:t>
            </w:r>
          </w:p>
        </w:tc>
        <w:tc>
          <w:tcPr>
            <w:tcW w:type="dxa" w:w="48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Roles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Reports to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Leadership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 / Head of Institution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Board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Head of Mediation; Panel Manager; Case Managers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Safeguarding &amp; quality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Safeguarding Lead; Quality &amp; Audit Officer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 (dotted line to Board)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Legal &amp; compliance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General Counsel / Company Secretary; DPO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 / Board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Technology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CTO; Engineers; AI/ML lead; Support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Finance &amp; operations</w:t>
            </w:r>
          </w:p>
        </w:tc>
        <w:tc>
          <w:tcPr>
            <w:tcW w:type="dxa" w:w="48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CFO/Finance Manager; Escrow Officer; Ops Executive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Growth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Partnerships (courts, DLSA, corporates); Content &amp; outreach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CEO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Role descriptions (summary)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Head of Mediation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Owns process quality, the panel and mediation standards.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Senior family mediator; 12+ years; trainer capability; sets and audits standards.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Safeguarding Lead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Owns screening, safety flags, incident response and support signposting.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Social work / psychology / DV-sector background; independent voice to the Board.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Case Manager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Runs cases end-to-end: intake, notice, scheduling, documents, closure.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Empathetic, organised, legally literate; trained in screening basics and de-escalation.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Panel Manager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Recruits, empanels, grades and reviews mediators; manages CPD.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Recruitment plus quality-assurance mindset; understands the Bye-laws.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Quality &amp; Audit Officer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Samples cases and MSAs; runs the QMS; tracks corrective actions.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Audit or compliance background; independent of case delivery.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General Counsel / CS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Rules, forms, statutory compliance, court liaison, MCI application.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Family-law literate; corporate secretarial capability.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Data Protection Officer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DPDP compliance, DPIA, consent, breach response.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Privacy qualification; may be combined with GC initially, then separated.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CTO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Platform, security, integrations, AI governance.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Built regulated or sensitive-data products; security-first.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AI/ML Lead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RAG pipeline, prompts, guardrails, eval harness.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Evaluation-driven; comfortable being told 'no' by the safety gate.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Escrow Officer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Escrow instructions, milestone verification, reconciliation.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Finance controls; segregation from case management.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Partnerships Lead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Purpose: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Courts, DLSAs, legal aid, corporate and community channels.  </w:t>
      </w:r>
      <w:r>
        <w:rPr>
          <w:rFonts w:ascii="Calibri" w:hAnsi="Calibri"/>
          <w:b/>
          <w:i w:val="0"/>
          <w:color w:val="1B2A32"/>
          <w:sz w:val="21"/>
        </w:rPr>
        <w:t>Profile: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Credibility with the judiciary; patient, relationship-led.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Hiring ramp (tied to volume)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Case volume trigger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Hires added</w:t>
            </w:r>
          </w:p>
        </w:tc>
        <w:tc>
          <w:tcPr>
            <w:tcW w:type="dxa" w:w="12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Cumulative core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Phase 1 — build (M1–3)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Pre-launch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CEO, Head of Mediation, GC/CS, CTO, 1 Engineer, 1 Case Manager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6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Phase 2 — pilot (M3–6)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First court pilot; ~20 cases/mo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Safeguarding Lead, Panel Manager, 1 Case Manager, AI/ML Lead</w:t>
            </w:r>
          </w:p>
        </w:tc>
        <w:tc>
          <w:tcPr>
            <w:tcW w:type="dxa" w:w="12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Phase 3 — scale (M6–12)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~60 cases/mo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2 Case Managers, Quality &amp; Audit Officer, Escrow Officer, Finance Manager, Support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16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Phase 4 — expand (M12–24)</w:t>
            </w:r>
          </w:p>
        </w:tc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~150 cases/mo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Partnerships Lead, DPO (separated), 2 Case Managers, 2 Engineers, Content</w:t>
            </w:r>
          </w:p>
        </w:tc>
        <w:tc>
          <w:tcPr>
            <w:tcW w:type="dxa" w:w="12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23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Trigger discipline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No role is filled before its volume trigger is met, except the four that must exist before the first live matter: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Head of Mediation, Safeguarding Lead, General Counsel and CTO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Safety and legal capability lead volume; everything else follows it.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Culture, diversity and wellbeing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Panel and staff diversity is a quality requirement, not a nicety — parties should be able to find a mediator of their gender, language and community.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Family mediation is emotionally heavy: build in supervision, reflective practice and vicarious-trauma support for mediators and case managers.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Whistleblowing and speak-up routes independent of line management, with the Safeguarding Lead having direct Board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E9A593-2A13-4B67-9B50-FC4B76AFD0E1}"/>
</file>

<file path=customXml/itemProps3.xml><?xml version="1.0" encoding="utf-8"?>
<ds:datastoreItem xmlns:ds="http://schemas.openxmlformats.org/officeDocument/2006/customXml" ds:itemID="{30A46B70-B1CF-4C48-BA06-F11A278990E9}"/>
</file>

<file path=customXml/itemProps4.xml><?xml version="1.0" encoding="utf-8"?>
<ds:datastoreItem xmlns:ds="http://schemas.openxmlformats.org/officeDocument/2006/customXml" ds:itemID="{DAF4A862-5C35-4871-A3C8-111874FB4F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