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Family Mediation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Quality Management &amp; Assurance Manual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The quality system, internal audit plan and accreditation roadmap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Family &amp; Marital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Quality policy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Equator's quality policy is simple to state and hard to do: </w:t>
      </w:r>
      <w:r>
        <w:rPr>
          <w:rFonts w:ascii="Calibri" w:hAnsi="Calibri"/>
          <w:b/>
          <w:i w:val="0"/>
          <w:color w:val="1B2A32"/>
          <w:sz w:val="21"/>
        </w:rPr>
        <w:t>every party leaves the process safe, heard, and with an outcome they understand and can rely on.</w:t>
      </w:r>
      <w:r>
        <w:rPr>
          <w:rFonts w:ascii="Calibri" w:hAnsi="Calibri"/>
          <w:b w:val="0"/>
          <w:i w:val="0"/>
          <w:color w:val="1B2A32"/>
          <w:sz w:val="21"/>
        </w:rPr>
        <w:t xml:space="preserve"> Everything in this manual exists to make that measurable and auditable rather than aspirational.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The quality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1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Element</w:t>
            </w:r>
          </w:p>
        </w:tc>
        <w:tc>
          <w:tcPr>
            <w:tcW w:type="dxa" w:w="446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What it means here</w:t>
            </w:r>
          </w:p>
        </w:tc>
        <w:tc>
          <w:tcPr>
            <w:tcW w:type="dxa" w:w="28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Documented process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Rules, Bye-laws, SOPs and forms define how work is 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Controlled document register with versions and owners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Competence</w:t>
            </w:r>
          </w:p>
        </w:tc>
        <w:tc>
          <w:tcPr>
            <w:tcW w:type="dxa" w:w="446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Only certified, graded, conflict-cleared mediators take matters</w:t>
            </w:r>
          </w:p>
        </w:tc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ECFM certificates, CPD logs, panel register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Process control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Workflow states, SLAs and safety gates enforced in the platform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System configuration; audit log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Measurement</w:t>
            </w:r>
          </w:p>
        </w:tc>
        <w:tc>
          <w:tcPr>
            <w:tcW w:type="dxa" w:w="446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Outcome, timeliness, safety and satisfaction metrics</w:t>
            </w:r>
          </w:p>
        </w:tc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Quality dashboard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Case review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Sampled review of files and MSAs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Review records with findings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Corrective action</w:t>
            </w:r>
          </w:p>
        </w:tc>
        <w:tc>
          <w:tcPr>
            <w:tcW w:type="dxa" w:w="446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Findings become actions with owners and dates</w:t>
            </w:r>
          </w:p>
        </w:tc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CAPA log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Party voice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Structured feedback from both parties, every case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Survey results, complaints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Management review</w:t>
            </w:r>
          </w:p>
        </w:tc>
        <w:tc>
          <w:tcPr>
            <w:tcW w:type="dxa" w:w="446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Quarterly review of the whole system</w:t>
            </w:r>
          </w:p>
        </w:tc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Minutes and decisions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Quality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8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Metric</w:t>
            </w:r>
          </w:p>
        </w:tc>
        <w:tc>
          <w:tcPr>
            <w:tcW w:type="dxa" w:w="432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Definition</w:t>
            </w:r>
          </w:p>
        </w:tc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Settlement rate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Matters settled (full or partial) / concluded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≥ 45%</w:t>
            </w:r>
          </w:p>
        </w:tc>
      </w:tr>
      <w:tr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Durability at 6 months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Settlements still holding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≥ 85%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Median time to outcome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Days from commencement to closure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≤ 60 days</w:t>
            </w:r>
          </w:p>
        </w:tc>
      </w:tr>
      <w:tr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Safety compliance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Screening completed before any joint session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Safety incidents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Incidents and near-misses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0 incidents; near-misses reviewed</w:t>
            </w:r>
          </w:p>
        </w:tc>
      </w:tr>
      <w:tr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Party-reported fairness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Both parties, exit survey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≥ 4.0 / 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Party-reported pressure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Any party reporting feeling pressured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0</w:t>
            </w:r>
          </w:p>
        </w:tc>
      </w:tr>
      <w:tr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MSA quality score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Audit rubric on completeness and enforceability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≥ 90%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Parenting plan present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Child matters with a written plan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≥ 90%</w:t>
            </w:r>
          </w:p>
        </w:tc>
      </w:tr>
      <w:tr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Complaint rate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Complaints / concluded matters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≤ 2%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CPD compliance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Mediators meeting annual CPD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100%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Case-file audit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A random </w:t>
      </w:r>
      <w:r>
        <w:rPr>
          <w:rFonts w:ascii="Calibri" w:hAnsi="Calibri"/>
          <w:b/>
          <w:i w:val="0"/>
          <w:color w:val="1B2A32"/>
          <w:sz w:val="21"/>
        </w:rPr>
        <w:t>10% sample</w:t>
      </w:r>
      <w:r>
        <w:rPr>
          <w:rFonts w:ascii="Calibri" w:hAnsi="Calibri"/>
          <w:b w:val="0"/>
          <w:i w:val="0"/>
          <w:color w:val="1B2A32"/>
          <w:sz w:val="21"/>
        </w:rPr>
        <w:t xml:space="preserve"> of concluded matters is audited each quarter, plus </w:t>
      </w:r>
      <w:r>
        <w:rPr>
          <w:rFonts w:ascii="Calibri" w:hAnsi="Calibri"/>
          <w:b/>
          <w:i w:val="0"/>
          <w:color w:val="1B2A32"/>
          <w:sz w:val="21"/>
        </w:rPr>
        <w:t>100% of</w:t>
      </w:r>
      <w:r>
        <w:rPr>
          <w:rFonts w:ascii="Calibri" w:hAnsi="Calibri"/>
          <w:b w:val="0"/>
          <w:i w:val="0"/>
          <w:color w:val="1B2A32"/>
          <w:sz w:val="21"/>
        </w:rPr>
        <w:t>: matters with a safety flag, matters involving children, matters where a complaint was made, and every new mediator's first three matters. The audit rubric covers screening, consent, impartiality, child focus, drafting quality, data handling and record completeness.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Internal audit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Area</w:t>
            </w:r>
          </w:p>
        </w:tc>
        <w:tc>
          <w:tcPr>
            <w:tcW w:type="dxa" w:w="187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Frequency</w:t>
            </w:r>
          </w:p>
        </w:tc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302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Safety &amp; screening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Quarterly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Quality &amp; Audit Officer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Screening completed, flags honoured, escalation timely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Case files &amp; MSAs</w:t>
            </w:r>
          </w:p>
        </w:tc>
        <w:tc>
          <w:tcPr>
            <w:tcW w:type="dxa" w:w="18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Quarterly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Quality &amp; Audit Officer</w:t>
            </w:r>
          </w:p>
        </w:tc>
        <w:tc>
          <w:tcPr>
            <w:tcW w:type="dxa" w:w="302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Rubric score; enforceability; child focus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Panel &amp; CPD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Semi-annual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Panel Manager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Certification currency; disclosures; review completion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Data protection</w:t>
            </w:r>
          </w:p>
        </w:tc>
        <w:tc>
          <w:tcPr>
            <w:tcW w:type="dxa" w:w="18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Semi-annual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DPO</w:t>
            </w:r>
          </w:p>
        </w:tc>
        <w:tc>
          <w:tcPr>
            <w:tcW w:type="dxa" w:w="302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Consent, retention, access, DPIA currency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Information security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Annual + on change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CTO / external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Access control, encryption, pen-test findings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Escrow &amp; finance</w:t>
            </w:r>
          </w:p>
        </w:tc>
        <w:tc>
          <w:tcPr>
            <w:tcW w:type="dxa" w:w="18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Quarterly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CFO</w:t>
            </w:r>
          </w:p>
        </w:tc>
        <w:tc>
          <w:tcPr>
            <w:tcW w:type="dxa" w:w="302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Reconciliation; segregation of duties; milestone evidence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AI governance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Monthly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AI Governance Forum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Eval results, incidents, prompt/model changes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Whole system</w:t>
            </w:r>
          </w:p>
        </w:tc>
        <w:tc>
          <w:tcPr>
            <w:tcW w:type="dxa" w:w="18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Annual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External auditor</w:t>
            </w:r>
          </w:p>
        </w:tc>
        <w:tc>
          <w:tcPr>
            <w:tcW w:type="dxa" w:w="302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Independent assurance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5.  Non-conformity &amp; corrective action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Record the finding with evidence and severity.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Contain any immediate risk (suspend a mediator, pause a process, notify a party).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Establish the root cause — not the nearest human.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Agree corrective action with an owner and a date; update the process, training or system.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Verify effectiveness at the next audit; close only when verified.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Report themes to the Risk &amp; Compliance Committee and the Board.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6.  Accreditation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Milestone</w:t>
            </w:r>
          </w:p>
        </w:tc>
        <w:tc>
          <w:tcPr>
            <w:tcW w:type="dxa" w:w="302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Standard</w:t>
            </w:r>
          </w:p>
        </w:tc>
        <w:tc>
          <w:tcPr>
            <w:tcW w:type="dxa" w:w="21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Indicative timing</w:t>
            </w:r>
          </w:p>
        </w:tc>
        <w:tc>
          <w:tcPr>
            <w:tcW w:type="dxa" w:w="201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Prerequisite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Information security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ISO/IEC 27001 (or SOC 2 Type II)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Year 2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ISMS, risk treatment, internal audit, pen-test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Quality management</w:t>
            </w:r>
          </w:p>
        </w:tc>
        <w:tc>
          <w:tcPr>
            <w:tcW w:type="dxa" w:w="302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ISO 9001 (optional)</w:t>
            </w:r>
          </w:p>
        </w:tc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Year 2–3</w:t>
            </w:r>
          </w:p>
        </w:tc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This QMS operating with records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Privacy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ISO/IEC 27701 (optional)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Year 3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27001 base + DPDP programme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Mediation recognition</w:t>
            </w:r>
          </w:p>
        </w:tc>
        <w:tc>
          <w:tcPr>
            <w:tcW w:type="dxa" w:w="302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MCI recognition as an MSP</w:t>
            </w:r>
          </w:p>
        </w:tc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When the Council is constituted</w:t>
            </w:r>
          </w:p>
        </w:tc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Rules, panel, training, records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Sector recognition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International mediation-institution affiliations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Year 3+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Track record and published outcomes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Family &amp; Marital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4CE18D-4A82-4C36-8743-413841BD705D}"/>
</file>

<file path=customXml/itemProps3.xml><?xml version="1.0" encoding="utf-8"?>
<ds:datastoreItem xmlns:ds="http://schemas.openxmlformats.org/officeDocument/2006/customXml" ds:itemID="{3B18AAD7-2FDC-4C84-A7D0-3694AA31C5BC}"/>
</file>

<file path=customXml/itemProps4.xml><?xml version="1.0" encoding="utf-8"?>
<ds:datastoreItem xmlns:ds="http://schemas.openxmlformats.org/officeDocument/2006/customXml" ds:itemID="{BB8AB5A7-C955-4BB8-99D2-F0507748526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