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Arbitration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Shared Platform Services Specification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One core, five verticals — the services and data model every vertical shares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Platform — institution-wide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Why this document exists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Equator runs five verticals — Family, Commercial, Financial, Workplace and Insurance — on </w:t>
      </w:r>
      <w:r>
        <w:rPr>
          <w:rFonts w:ascii="Calibri" w:hAnsi="Calibri"/>
          <w:b/>
          <w:i w:val="0"/>
          <w:color w:val="1B2A32"/>
          <w:sz w:val="21"/>
        </w:rPr>
        <w:t>one operating engine</w:t>
      </w:r>
      <w:r>
        <w:rPr>
          <w:rFonts w:ascii="Calibri" w:hAnsi="Calibri"/>
          <w:b w:val="0"/>
          <w:i w:val="0"/>
          <w:color w:val="1B2A32"/>
          <w:sz w:val="21"/>
        </w:rPr>
        <w:t xml:space="preserve">. Each vertical was specified in depth on its own, and each has its own rule-bearing schema and OpenAPI surface. This document does the thing a Big-4 reviewer asks for on seeing five schemas: it defines the </w:t>
      </w:r>
      <w:r>
        <w:rPr>
          <w:rFonts w:ascii="Calibri" w:hAnsi="Calibri"/>
          <w:b/>
          <w:i w:val="0"/>
          <w:color w:val="1B2A32"/>
          <w:sz w:val="21"/>
        </w:rPr>
        <w:t>shared core</w:t>
      </w:r>
      <w:r>
        <w:rPr>
          <w:rFonts w:ascii="Calibri" w:hAnsi="Calibri"/>
          <w:b w:val="0"/>
          <w:i w:val="0"/>
          <w:color w:val="1B2A32"/>
          <w:sz w:val="21"/>
        </w:rPr>
        <w:t xml:space="preserve"> beneath them, so the institution builds and audits once, not five times.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THE PRINCIPLE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A control that every vertical needs lives in the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core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and is enforced there. A control that is specific to one vertical lives in that vertical's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extension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and may only *add* to the core — never weaken it. The companion `schema_core.sql` is the machine-readable form of this document.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The shared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59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43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288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Who uses it</w:t>
            </w:r>
          </w:p>
        </w:tc>
        <w:tc>
          <w:tcPr>
            <w:tcW w:type="dxa" w:w="460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 control it carries</w:t>
            </w:r>
          </w:p>
        </w:tc>
      </w:tr>
      <w:tr>
        <w:tc>
          <w:tcPr>
            <w:tcW w:type="dxa" w:w="259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Identity &amp; KYC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Aadhaar e-KYC / gov-ID / corporate authority / video verification</w:t>
            </w:r>
          </w:p>
        </w:tc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 verticals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processing before verification where the matter requires it</w:t>
            </w:r>
          </w:p>
        </w:tc>
      </w:tr>
      <w:tr>
        <w:tc>
          <w:tcPr>
            <w:tcW w:type="dxa" w:w="259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Consent &amp; DPDP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Records purpose-bound, withdrawable consent; flags sensitive categories (health, POSH, financial)</w:t>
            </w:r>
          </w:p>
        </w:tc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K2 — consent present before processing; sensitive categories gated</w:t>
            </w:r>
          </w:p>
        </w:tc>
      </w:tr>
      <w:tr>
        <w:tc>
          <w:tcPr>
            <w:tcW w:type="dxa" w:w="259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Case &amp; status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shared case record and a status machine per vertical</w:t>
            </w:r>
          </w:p>
        </w:tc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K1 — one vertical, one status machine, mapped to a common reporting status</w:t>
            </w:r>
          </w:p>
        </w:tc>
      </w:tr>
      <w:tr>
        <w:tc>
          <w:tcPr>
            <w:tcW w:type="dxa" w:w="259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Clock engine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Generated expiries, 90/60/30-day alerts, the mandatory prompt</w:t>
            </w:r>
          </w:p>
        </w:tc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 (owned-clock verticals: Insurance, Financial, Family)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K3 — no closure with an unowned clock where the vertical requires it</w:t>
            </w:r>
          </w:p>
        </w:tc>
      </w:tr>
      <w:tr>
        <w:tc>
          <w:tcPr>
            <w:tcW w:type="dxa" w:w="259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Signposting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Records delivery of the rights/forum script</w:t>
            </w:r>
          </w:p>
        </w:tc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Insurance, Financial, Workplace, Family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Closure blocked without it where required</w:t>
            </w:r>
          </w:p>
        </w:tc>
      </w:tr>
      <w:tr>
        <w:tc>
          <w:tcPr>
            <w:tcW w:type="dxa" w:w="259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Neutral &amp; sessions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Panel, appointment, rotation, disclosure, sessions, caucus</w:t>
            </w:r>
          </w:p>
        </w:tc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K4 — caucus material sealed to the neutral (row-level security)</w:t>
            </w:r>
          </w:p>
        </w:tc>
      </w:tr>
      <w:tr>
        <w:tc>
          <w:tcPr>
            <w:tcW w:type="dxa" w:w="259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Escrow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Holds settlement money; releases against milestones</w:t>
            </w:r>
          </w:p>
        </w:tc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K5 — release only with evidence on file; money never touches the institution's own accounts</w:t>
            </w:r>
          </w:p>
        </w:tc>
      </w:tr>
      <w:tr>
        <w:tc>
          <w:tcPr>
            <w:tcW w:type="dxa" w:w="259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Settlement &amp; registration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Drafts, e-signs, registers under Mediation Act s.27</w:t>
            </w:r>
          </w:p>
        </w:tc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Shared non-waiver invariant; registration before closure where required</w:t>
            </w:r>
          </w:p>
        </w:tc>
      </w:tr>
      <w:tr>
        <w:tc>
          <w:tcPr>
            <w:tcW w:type="dxa" w:w="259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e-Sign &amp; e-Stamp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Aadhaar e-Sign (IT Act s.3A); SHCIL e-stamp</w:t>
            </w:r>
          </w:p>
        </w:tc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Valid electronic execution</w:t>
            </w:r>
          </w:p>
        </w:tc>
      </w:tr>
      <w:tr>
        <w:tc>
          <w:tcPr>
            <w:tcW w:type="dxa" w:w="259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Audit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Hash-chained event log with tamper detection</w:t>
            </w:r>
          </w:p>
        </w:tc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K6 — every state change recorded</w:t>
            </w:r>
          </w:p>
        </w:tc>
      </w:tr>
      <w:tr>
        <w:tc>
          <w:tcPr>
            <w:tcW w:type="dxa" w:w="259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Sensitive sub-stores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POSH (Workplace) and health (Insurance) in separate schemas</w:t>
            </w:r>
          </w:p>
        </w:tc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Workplace, Insurance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K7 — separate schema, no FK path, access-logged</w:t>
            </w:r>
          </w:p>
        </w:tc>
      </w:tr>
      <w:tr>
        <w:tc>
          <w:tcPr>
            <w:tcW w:type="dxa" w:w="259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AI gateway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Guardrailed classification, routing, drafting; no advice, no prediction</w:t>
            </w:r>
          </w:p>
        </w:tc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Unified guardrail taxonomy (see the AI Safety &amp; Evaluation Framework)</w:t>
            </w:r>
          </w:p>
        </w:tc>
      </w:tr>
      <w:tr>
        <w:tc>
          <w:tcPr>
            <w:tcW w:type="dxa" w:w="259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Notifications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Email / SMS / portal; template-linted</w:t>
            </w:r>
          </w:p>
        </w:tc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sensitive data in a subject line or SMS</w:t>
            </w:r>
          </w:p>
        </w:tc>
      </w:tr>
      <w:tr>
        <w:tc>
          <w:tcPr>
            <w:tcW w:type="dxa" w:w="259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Reporting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Portfolio caseload, clock risk, outcomes by counterparty</w:t>
            </w:r>
          </w:p>
        </w:tc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Sensitive sub-stores excluded by construction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The core controls (K1–K7)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86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48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604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Where it lives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K1</w:t>
            </w:r>
          </w:p>
        </w:tc>
        <w:tc>
          <w:tcPr>
            <w:tcW w:type="dxa" w:w="74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Every case belongs to exactly one vertical and one status machine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`cases.vertical` + status enum + mapping</w:t>
            </w:r>
          </w:p>
        </w:tc>
      </w:tr>
      <w:tr>
        <w:tc>
          <w:tcPr>
            <w:tcW w:type="dxa" w:w="86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K2</w:t>
            </w:r>
          </w:p>
        </w:tc>
        <w:tc>
          <w:tcPr>
            <w:tcW w:type="dxa" w:w="74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Every party has recorded DPDP consent before processing; sensitive categories flagged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`consent` table + `consent_present` CHECK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K3</w:t>
            </w:r>
          </w:p>
        </w:tc>
        <w:tc>
          <w:tcPr>
            <w:tcW w:type="dxa" w:w="74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clock has a generated expiry and must be owned before closure where the vertical requires it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`clock.expiry_date` GENERATED + `closure_policy` + `core_guard_closure()`</w:t>
            </w:r>
          </w:p>
        </w:tc>
      </w:tr>
      <w:tr>
        <w:tc>
          <w:tcPr>
            <w:tcW w:type="dxa" w:w="86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K4</w:t>
            </w:r>
          </w:p>
        </w:tc>
        <w:tc>
          <w:tcPr>
            <w:tcW w:type="dxa" w:w="74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Private-session material is sealed to the neutral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`caucus_note` + row-level security policy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K5</w:t>
            </w:r>
          </w:p>
        </w:tc>
        <w:tc>
          <w:tcPr>
            <w:tcW w:type="dxa" w:w="74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Money moves only through escrow milestones with evidence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`escrow_milestone.release_needs_evidence` CHECK</w:t>
            </w:r>
          </w:p>
        </w:tc>
      </w:tr>
      <w:tr>
        <w:tc>
          <w:tcPr>
            <w:tcW w:type="dxa" w:w="86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K6</w:t>
            </w:r>
          </w:p>
        </w:tc>
        <w:tc>
          <w:tcPr>
            <w:tcW w:type="dxa" w:w="74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Every state change is written to a hash-chained audit log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`audit_event` + chain verification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K7</w:t>
            </w:r>
          </w:p>
        </w:tc>
        <w:tc>
          <w:tcPr>
            <w:tcW w:type="dxa" w:w="74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Sensitive sub-stores live in separate schemas with no FK path from the core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`workplace_posh.*`, `ins_health.*` referenced only by opaque token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THE EXTENSION RULE, RESTATED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A vertical schema references `core.cases(id)` and adds its own rule-bearing tables and CHECK constraints — the Insurance retail-arbitration bar, the Commercial arbitration-needs-agreement and s.12A gate, the Workplace POSH seal, the Financial statutory-dues invariant, the Family safety-flag.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Nothing in a vertical schema may weaken a core control.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Each vertical's Reference Implementation proves its extension; the core controls are proven once here.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The per-vertical extension pattern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Each vertical owns a schema whose tables reference the core case. It adds only three things: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Its own status enum</w:t>
      </w:r>
      <w:r>
        <w:rPr>
          <w:rFonts w:ascii="Calibri" w:hAnsi="Calibri"/>
          <w:b w:val="0"/>
          <w:i w:val="0"/>
          <w:color w:val="1B2A32"/>
          <w:sz w:val="21"/>
        </w:rPr>
        <w:t>, mapped to the common `core_case_status` by a small function so portfolio reporting works across verticals.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Its own rule-bearing tables and CHECK constraints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controls specific to that vertical.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 trigger</w:t>
      </w:r>
      <w:r>
        <w:rPr>
          <w:rFonts w:ascii="Calibri" w:hAnsi="Calibri"/>
          <w:b w:val="0"/>
          <w:i w:val="0"/>
          <w:color w:val="1B2A32"/>
          <w:sz w:val="21"/>
        </w:rPr>
        <w:t xml:space="preserve"> that keeps `cases.ext` (a typed JSONB mirror) in sync for cross-vertical search.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30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Vertical</w:t>
            </w:r>
          </w:p>
        </w:tc>
        <w:tc>
          <w:tcPr>
            <w:tcW w:type="dxa" w:w="316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Extension schema</w:t>
            </w:r>
          </w:p>
        </w:tc>
        <w:tc>
          <w:tcPr>
            <w:tcW w:type="dxa" w:w="892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 rule-bearing constraints it adds</w:t>
            </w:r>
          </w:p>
        </w:tc>
      </w:tr>
      <w:tr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Insurance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`ins.*`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Retail-arbitration bar (R1); no statutory waiver (R2); signposting + owned clocks before closure (R3); health segregation</w:t>
            </w:r>
          </w:p>
        </w:tc>
      </w:tr>
      <w:tr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Commercial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`cm.*`</w:t>
            </w:r>
          </w:p>
        </w:tc>
        <w:tc>
          <w:tcPr>
            <w:tcW w:type="dxa" w:w="89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Arbitration-needs-agreement (C1); MSME conciliation before arbitration (C2); s.12A pre-institution mediation (C3); registration before closure (C4)</w:t>
            </w:r>
          </w:p>
        </w:tc>
      </w:tr>
      <w:tr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Workplace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`wp.*` + `workplace_posh.*`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POSH seal and separate store; statutory dues not waived; safety flag blocks joint sessions</w:t>
            </w:r>
          </w:p>
        </w:tc>
      </w:tr>
      <w:tr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Financial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`fl.*`</w:t>
            </w:r>
          </w:p>
        </w:tc>
        <w:tc>
          <w:tcPr>
            <w:tcW w:type="dxa" w:w="89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Statutory dues not waived; owned clocks; RBI-Ombudsman / NI-138 / SARFAESI signposting</w:t>
            </w:r>
          </w:p>
        </w:tc>
      </w:tr>
      <w:tr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`fam.*`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Safety flag blocks joint sessions; child-welfare paramountcy; maintenance not waived; caucus seal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Cross-vertical services in detail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4.1  The clock engine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One scheduler serves every vertical. It computes expiries from the trigger date and period, raises informational alerts at 90 days, a </w:t>
      </w:r>
      <w:r>
        <w:rPr>
          <w:rFonts w:ascii="Calibri" w:hAnsi="Calibri"/>
          <w:b/>
          <w:i w:val="0"/>
          <w:color w:val="1B2A32"/>
          <w:sz w:val="21"/>
        </w:rPr>
        <w:t>blocking</w:t>
      </w:r>
      <w:r>
        <w:rPr>
          <w:rFonts w:ascii="Calibri" w:hAnsi="Calibri"/>
          <w:b w:val="0"/>
          <w:i w:val="0"/>
          <w:color w:val="1B2A32"/>
          <w:sz w:val="21"/>
        </w:rPr>
        <w:t xml:space="preserve"> task at 60 days on the critical clock (the Ombudsman year, the limitation period, the s.29A arbitral clock), escalates at 30 days, and raises a Critical incident on an unprompted expiry. The `closure_policy` table tells the shared closure guard which verticals require owned clocks before a case can close.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4.2  Escrow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 single escrow integration with a regulated bank serves all five verticals. Settlement money is held and released only against milestones with evidence on file; it never passes through Equator's own accounts. The same milestone-with-evidence constraint applies whether the money is a family maintenance sum, a commercial award, a loan one-time-settlement, an F&amp;F payment or an insurance claim.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4.3  The AI gateway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One guardrailed AI service serves every vertical, with a shared guardrail taxonomy and a shared evaluation harness (see the *Unified AI Safety &amp; Evaluation Framework*). The model classifies and drafts; a deterministic rules engine routes. Vertical-specific guardrails — the Insurance retail-arbitration bar, the Workplace POSH-safety rule, the Family safety-first rule — are packs on top of the shared base.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4.4  Sensitive sub-stores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Two categories of data are too sensitive for the core: </w:t>
      </w:r>
      <w:r>
        <w:rPr>
          <w:rFonts w:ascii="Calibri" w:hAnsi="Calibri"/>
          <w:b/>
          <w:i w:val="0"/>
          <w:color w:val="1B2A32"/>
          <w:sz w:val="21"/>
        </w:rPr>
        <w:t>POSH</w:t>
      </w:r>
      <w:r>
        <w:rPr>
          <w:rFonts w:ascii="Calibri" w:hAnsi="Calibri"/>
          <w:b w:val="0"/>
          <w:i w:val="0"/>
          <w:color w:val="1B2A32"/>
          <w:sz w:val="21"/>
        </w:rPr>
        <w:t xml:space="preserve"> complaints (Workplace) and </w:t>
      </w:r>
      <w:r>
        <w:rPr>
          <w:rFonts w:ascii="Calibri" w:hAnsi="Calibri"/>
          <w:b/>
          <w:i w:val="0"/>
          <w:color w:val="1B2A32"/>
          <w:sz w:val="21"/>
        </w:rPr>
        <w:t>health</w:t>
      </w:r>
      <w:r>
        <w:rPr>
          <w:rFonts w:ascii="Calibri" w:hAnsi="Calibri"/>
          <w:b w:val="0"/>
          <w:i w:val="0"/>
          <w:color w:val="1B2A32"/>
          <w:sz w:val="21"/>
        </w:rPr>
        <w:t xml:space="preserve"> records (Insurance). Each lives in a separate schema (`workplace_posh`, `ins_health`) with its own encryption key, referenced from the core only by an opaque text token, access-logged on every read, and excluded from every analytics view and every AI dataset. The separation is the control, and it is proven in the respective Reference Implementations.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What this buys the institution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Build once.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Identity, consent, clocks, escrow, audit, e-sign, notifications and reporting are built and hardened once, not five times.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Audit once.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seven core controls are proven once; each vertical only proves its own extension.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Report across verticals.</w:t>
      </w:r>
      <w:r>
        <w:rPr>
          <w:rFonts w:ascii="Calibri" w:hAnsi="Calibri"/>
          <w:b w:val="0"/>
          <w:i w:val="0"/>
          <w:color w:val="1B2A32"/>
          <w:sz w:val="21"/>
        </w:rPr>
        <w:t xml:space="preserve"> A single portfolio caseload and clock-risk view spans all five — the basis for the portfolio dashboard and the roll-up financial model.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Add a vertical cheaply.</w:t>
      </w:r>
      <w:r>
        <w:rPr>
          <w:rFonts w:ascii="Calibri" w:hAnsi="Calibri"/>
          <w:b w:val="0"/>
          <w:i w:val="0"/>
          <w:color w:val="1B2A32"/>
          <w:sz w:val="21"/>
        </w:rPr>
        <w:t xml:space="preserve"> A sixth vertical is a schema extension plus a guardrail pack, not a new platform.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One security perimeter.</w:t>
      </w:r>
      <w:r>
        <w:rPr>
          <w:rFonts w:ascii="Calibri" w:hAnsi="Calibri"/>
          <w:b w:val="0"/>
          <w:i w:val="0"/>
          <w:color w:val="1B2A32"/>
          <w:sz w:val="21"/>
        </w:rPr>
        <w:t xml:space="preserve"> One DPIA, one threat model, one incident-response runbook — see the Platform DPIA &amp; Security pack.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COMPANION ARTEFACTS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`schema_core.sql` (this model, machine-readable) · the five vertical schemas (`schema_in.sql`, `schema_cm.sql`, `schema_wp.sql`, `schema_fam.sql`, and the Financial DDL) · the five OpenAPI specs · the platform and Insurance Reference Implementations that prove the controls run, not just read.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CA38F9-065F-43F1-A8A6-4BEBE0789465}"/>
</file>

<file path=customXml/itemProps3.xml><?xml version="1.0" encoding="utf-8"?>
<ds:datastoreItem xmlns:ds="http://schemas.openxmlformats.org/officeDocument/2006/customXml" ds:itemID="{4F04465D-DBF8-4134-BF94-C6E961863067}"/>
</file>

<file path=customXml/itemProps4.xml><?xml version="1.0" encoding="utf-8"?>
<ds:datastoreItem xmlns:ds="http://schemas.openxmlformats.org/officeDocument/2006/customXml" ds:itemID="{F9DC1443-B178-436D-9581-5FC05CAA2F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